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A8" w:rsidRDefault="00A34490">
      <w:bookmarkStart w:id="0" w:name="_GoBack"/>
      <w:bookmarkEnd w:id="0"/>
    </w:p>
    <w:p w:rsidR="002F433E" w:rsidRDefault="002F433E">
      <w:r>
        <w:t xml:space="preserve">Name of </w:t>
      </w:r>
      <w:proofErr w:type="spellStart"/>
      <w:r>
        <w:t>SENCo</w:t>
      </w:r>
      <w:proofErr w:type="spellEnd"/>
      <w:r>
        <w:t>:</w:t>
      </w:r>
      <w:r>
        <w:tab/>
      </w:r>
      <w:r w:rsidR="00D667AB">
        <w:t>Alison McDonald</w:t>
      </w:r>
      <w:r>
        <w:tab/>
      </w:r>
      <w:r>
        <w:tab/>
      </w:r>
    </w:p>
    <w:p w:rsidR="009E596D" w:rsidRDefault="002F433E">
      <w:r>
        <w:t>Contact email:</w:t>
      </w:r>
      <w:r>
        <w:tab/>
      </w:r>
      <w:r>
        <w:tab/>
      </w:r>
      <w:r w:rsidR="009E596D">
        <w:t>head@st-marys-bod.cornwall.sch.uk</w:t>
      </w:r>
      <w:r>
        <w:tab/>
      </w:r>
    </w:p>
    <w:p w:rsidR="002F433E" w:rsidRDefault="002F433E">
      <w:r>
        <w:t>Contact Phone Number:</w:t>
      </w:r>
      <w:r w:rsidR="00D667AB">
        <w:t xml:space="preserve"> 01208 </w:t>
      </w:r>
      <w:r w:rsidR="009E596D">
        <w:t>73218</w:t>
      </w:r>
    </w:p>
    <w:p w:rsidR="002F433E" w:rsidRDefault="002F433E">
      <w:r>
        <w:t>Name of SEN Governor:</w:t>
      </w:r>
      <w:r w:rsidR="00D667AB">
        <w:t xml:space="preserve">  </w:t>
      </w:r>
      <w:r w:rsidR="009E596D">
        <w:t xml:space="preserve">Mrs </w:t>
      </w:r>
      <w:r w:rsidR="00845FDB">
        <w:t>Kathryn Evans</w:t>
      </w:r>
    </w:p>
    <w:p w:rsidR="002F433E" w:rsidRDefault="002F433E">
      <w:r>
        <w:t xml:space="preserve">School Offer link:  </w:t>
      </w:r>
      <w:hyperlink r:id="rId8" w:history="1">
        <w:r w:rsidR="009E596D" w:rsidRPr="00973BC8">
          <w:rPr>
            <w:rStyle w:val="Hyperlink"/>
          </w:rPr>
          <w:t>https://www.st-marys-bod.cornwall.sch.uk/web/school_offer_for_send_2018-19/370401</w:t>
        </w:r>
      </w:hyperlink>
    </w:p>
    <w:p w:rsidR="002F433E" w:rsidRDefault="002F433E">
      <w:pPr>
        <w:rPr>
          <w:b/>
          <w:u w:val="single"/>
        </w:rPr>
      </w:pPr>
      <w:r>
        <w:rPr>
          <w:b/>
          <w:u w:val="single"/>
        </w:rPr>
        <w:t>Whole School Approa</w:t>
      </w:r>
      <w:r w:rsidR="00335496">
        <w:rPr>
          <w:b/>
          <w:u w:val="single"/>
        </w:rPr>
        <w:t>ch to Teaching and Learning</w:t>
      </w:r>
      <w:r>
        <w:rPr>
          <w:b/>
          <w:u w:val="single"/>
        </w:rPr>
        <w:t>:</w:t>
      </w:r>
    </w:p>
    <w:p w:rsidR="005E6517" w:rsidRDefault="002F433E" w:rsidP="005E6517">
      <w:pPr>
        <w:pStyle w:val="ListParagraph"/>
        <w:numPr>
          <w:ilvl w:val="0"/>
          <w:numId w:val="3"/>
        </w:numPr>
      </w:pPr>
      <w:r>
        <w:t>High Quality Teaching and Learning</w:t>
      </w:r>
      <w:r w:rsidR="005E6517">
        <w:t xml:space="preserve"> – All teachers are responsible for the learning and progress of every child in their class, including those with SEN</w:t>
      </w:r>
      <w:r w:rsidR="009E596D">
        <w:t>D</w:t>
      </w:r>
      <w:r w:rsidR="005E6517">
        <w:t>.</w:t>
      </w:r>
    </w:p>
    <w:p w:rsidR="002F433E" w:rsidRDefault="00EC0E5B" w:rsidP="002F433E">
      <w:pPr>
        <w:pStyle w:val="ListParagraph"/>
        <w:numPr>
          <w:ilvl w:val="0"/>
          <w:numId w:val="3"/>
        </w:numPr>
      </w:pPr>
      <w:r>
        <w:t>An inclusive, d</w:t>
      </w:r>
      <w:r w:rsidR="002F433E">
        <w:t>ifferentiated and personalised approach</w:t>
      </w:r>
      <w:r>
        <w:t xml:space="preserve"> to enable all learners, including those with SEN</w:t>
      </w:r>
      <w:r w:rsidR="009E596D">
        <w:t>D</w:t>
      </w:r>
      <w:r>
        <w:t>, to engage with all aspects of school life.</w:t>
      </w:r>
    </w:p>
    <w:p w:rsidR="002F433E" w:rsidRDefault="002F433E" w:rsidP="002F433E">
      <w:pPr>
        <w:pStyle w:val="ListParagraph"/>
        <w:numPr>
          <w:ilvl w:val="0"/>
          <w:numId w:val="3"/>
        </w:numPr>
      </w:pPr>
      <w:r>
        <w:t xml:space="preserve">Refer to Teaching and Learning </w:t>
      </w:r>
      <w:r w:rsidR="009E596D">
        <w:t>Handbook</w:t>
      </w:r>
    </w:p>
    <w:p w:rsidR="00335496" w:rsidRDefault="00335496" w:rsidP="00335496">
      <w:pPr>
        <w:rPr>
          <w:b/>
          <w:u w:val="single"/>
        </w:rPr>
      </w:pPr>
      <w:r>
        <w:rPr>
          <w:b/>
          <w:u w:val="single"/>
        </w:rPr>
        <w:t>Our Graduated Response for Learners:</w:t>
      </w:r>
    </w:p>
    <w:p w:rsidR="00335496" w:rsidRDefault="00335496" w:rsidP="00335496">
      <w:pPr>
        <w:pStyle w:val="ListParagraph"/>
        <w:numPr>
          <w:ilvl w:val="0"/>
          <w:numId w:val="7"/>
        </w:numPr>
      </w:pPr>
      <w:r>
        <w:t>Continual monitoring of the quality of  teaching</w:t>
      </w:r>
    </w:p>
    <w:p w:rsidR="00D667AB" w:rsidRDefault="003C757A" w:rsidP="003C757A">
      <w:pPr>
        <w:pStyle w:val="ListParagraph"/>
        <w:numPr>
          <w:ilvl w:val="0"/>
          <w:numId w:val="7"/>
        </w:numPr>
      </w:pPr>
      <w:r>
        <w:t>Identifying and tracking</w:t>
      </w:r>
      <w:r w:rsidR="00335496">
        <w:t xml:space="preserve"> the progress of children/young people that require support to catch</w:t>
      </w:r>
      <w:r w:rsidR="00D667AB">
        <w:t xml:space="preserve"> up</w:t>
      </w:r>
    </w:p>
    <w:p w:rsidR="003C757A" w:rsidRDefault="00335496" w:rsidP="003C757A">
      <w:pPr>
        <w:pStyle w:val="ListParagraph"/>
        <w:numPr>
          <w:ilvl w:val="0"/>
          <w:numId w:val="7"/>
        </w:numPr>
      </w:pPr>
      <w:r>
        <w:t>Identification of children/young people requiring SEN</w:t>
      </w:r>
      <w:r w:rsidR="009E596D">
        <w:t>D</w:t>
      </w:r>
      <w:r>
        <w:t xml:space="preserve"> Support</w:t>
      </w:r>
      <w:r w:rsidR="003C757A">
        <w:t xml:space="preserve"> and initiation of “</w:t>
      </w:r>
      <w:r w:rsidR="00D667AB">
        <w:t>assess, plan, do, review” cycle</w:t>
      </w:r>
    </w:p>
    <w:p w:rsidR="003C757A" w:rsidRDefault="003C757A" w:rsidP="003C757A">
      <w:pPr>
        <w:pStyle w:val="ListParagraph"/>
        <w:numPr>
          <w:ilvl w:val="0"/>
          <w:numId w:val="7"/>
        </w:numPr>
      </w:pPr>
      <w:r>
        <w:t>Consideration of application for Education, Health and Care Plan</w:t>
      </w:r>
    </w:p>
    <w:p w:rsidR="005E52AA" w:rsidRDefault="005E52AA" w:rsidP="003C757A">
      <w:pPr>
        <w:pStyle w:val="ListParagraph"/>
        <w:numPr>
          <w:ilvl w:val="0"/>
          <w:numId w:val="7"/>
        </w:numPr>
      </w:pPr>
      <w:r>
        <w:t>All children/young people identified as requiring SEN</w:t>
      </w:r>
      <w:r w:rsidR="009E596D">
        <w:t>D</w:t>
      </w:r>
      <w:r>
        <w:t xml:space="preserve"> Support, or with an Education, Health and Care Plan (or state</w:t>
      </w:r>
      <w:r w:rsidR="00D667AB">
        <w:t>ment) are on our Record of Need</w:t>
      </w:r>
    </w:p>
    <w:p w:rsidR="005E6517" w:rsidRDefault="005E6517" w:rsidP="003C757A">
      <w:pPr>
        <w:rPr>
          <w:b/>
          <w:u w:val="single"/>
        </w:rPr>
      </w:pPr>
      <w:r>
        <w:rPr>
          <w:b/>
          <w:u w:val="single"/>
        </w:rPr>
        <w:t>How we identify children/young people that need additional or different provision:</w:t>
      </w:r>
    </w:p>
    <w:p w:rsidR="003C757A" w:rsidRPr="003C757A" w:rsidRDefault="003C757A" w:rsidP="003C757A">
      <w:pPr>
        <w:pStyle w:val="ListParagraph"/>
        <w:numPr>
          <w:ilvl w:val="0"/>
          <w:numId w:val="8"/>
        </w:numPr>
      </w:pPr>
      <w:r w:rsidRPr="003C757A">
        <w:t>Class teacher refers to SEN</w:t>
      </w:r>
      <w:r w:rsidR="009E596D">
        <w:t>D</w:t>
      </w:r>
      <w:r w:rsidRPr="003C757A">
        <w:t>CO - criteria</w:t>
      </w:r>
    </w:p>
    <w:p w:rsidR="005E6517" w:rsidRDefault="005E6517" w:rsidP="005E6517">
      <w:pPr>
        <w:pStyle w:val="ListParagraph"/>
        <w:numPr>
          <w:ilvl w:val="0"/>
          <w:numId w:val="6"/>
        </w:numPr>
      </w:pPr>
      <w:r>
        <w:t>Ongoing curriculum assessments</w:t>
      </w:r>
    </w:p>
    <w:p w:rsidR="005E6517" w:rsidRDefault="005E6517" w:rsidP="00335496">
      <w:pPr>
        <w:pStyle w:val="ListParagraph"/>
        <w:numPr>
          <w:ilvl w:val="0"/>
          <w:numId w:val="6"/>
        </w:numPr>
      </w:pPr>
      <w:r>
        <w:t>Tracking progress</w:t>
      </w:r>
      <w:r w:rsidR="00D667AB">
        <w:t xml:space="preserve"> and attainment</w:t>
      </w:r>
      <w:r>
        <w:t xml:space="preserve"> using </w:t>
      </w:r>
      <w:r w:rsidR="00D667AB">
        <w:t>our data programme</w:t>
      </w:r>
    </w:p>
    <w:p w:rsidR="003C757A" w:rsidRDefault="003C757A" w:rsidP="00335496">
      <w:pPr>
        <w:pStyle w:val="ListParagraph"/>
        <w:numPr>
          <w:ilvl w:val="0"/>
          <w:numId w:val="6"/>
        </w:numPr>
      </w:pPr>
      <w:r>
        <w:t>Further assessments by specialists, including those from external agencies</w:t>
      </w:r>
    </w:p>
    <w:p w:rsidR="0007549C" w:rsidRDefault="00335496" w:rsidP="00335496">
      <w:r>
        <w:t>We take a holistic approach by all aspects of a child’s development and well-being.</w:t>
      </w:r>
      <w:r w:rsidR="00EC0E5B">
        <w:t xml:space="preserve">  Our pastoral support </w:t>
      </w:r>
      <w:proofErr w:type="gramStart"/>
      <w:r w:rsidR="00EC0E5B">
        <w:t>arrangements for supporting the emotional and social development of all children/young people, including those with SEN</w:t>
      </w:r>
      <w:r w:rsidR="009E596D">
        <w:t>D</w:t>
      </w:r>
      <w:r w:rsidR="00EC0E5B">
        <w:t>, is</w:t>
      </w:r>
      <w:proofErr w:type="gramEnd"/>
      <w:r w:rsidR="00EC0E5B">
        <w:t xml:space="preserve"> set out in our School Offer.  Our measures to prevent bullying can be seen in our Anti-bullying policy.</w:t>
      </w:r>
    </w:p>
    <w:p w:rsidR="0007549C" w:rsidRPr="0007549C" w:rsidRDefault="0007549C" w:rsidP="00335496">
      <w:pPr>
        <w:rPr>
          <w:b/>
          <w:u w:val="single"/>
        </w:rPr>
      </w:pPr>
      <w:r>
        <w:rPr>
          <w:b/>
          <w:u w:val="single"/>
        </w:rPr>
        <w:t>How we listen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07549C" w:rsidTr="0007549C">
        <w:tc>
          <w:tcPr>
            <w:tcW w:w="3114" w:type="dxa"/>
          </w:tcPr>
          <w:p w:rsidR="0007549C" w:rsidRPr="00391FF5" w:rsidRDefault="0007549C" w:rsidP="00643400">
            <w:pPr>
              <w:rPr>
                <w:b/>
                <w:u w:val="single"/>
              </w:rPr>
            </w:pPr>
            <w:r>
              <w:rPr>
                <w:b/>
                <w:u w:val="single"/>
              </w:rPr>
              <w:t>What</w:t>
            </w:r>
          </w:p>
        </w:tc>
        <w:tc>
          <w:tcPr>
            <w:tcW w:w="2835" w:type="dxa"/>
          </w:tcPr>
          <w:p w:rsidR="0007549C" w:rsidRDefault="0007549C" w:rsidP="00643400">
            <w:pPr>
              <w:rPr>
                <w:b/>
                <w:u w:val="single"/>
              </w:rPr>
            </w:pPr>
            <w:r>
              <w:rPr>
                <w:b/>
                <w:u w:val="single"/>
              </w:rPr>
              <w:t>Who</w:t>
            </w:r>
          </w:p>
        </w:tc>
        <w:tc>
          <w:tcPr>
            <w:tcW w:w="2551" w:type="dxa"/>
          </w:tcPr>
          <w:p w:rsidR="0007549C" w:rsidRDefault="0007549C" w:rsidP="00643400">
            <w:pPr>
              <w:rPr>
                <w:b/>
                <w:u w:val="single"/>
              </w:rPr>
            </w:pPr>
            <w:r>
              <w:rPr>
                <w:b/>
                <w:u w:val="single"/>
              </w:rPr>
              <w:t>When</w:t>
            </w:r>
          </w:p>
        </w:tc>
      </w:tr>
      <w:tr w:rsidR="0007549C" w:rsidTr="0007549C">
        <w:tc>
          <w:tcPr>
            <w:tcW w:w="3114" w:type="dxa"/>
          </w:tcPr>
          <w:p w:rsidR="0007549C" w:rsidRPr="00D667AB" w:rsidRDefault="0007549C" w:rsidP="00643400">
            <w:pPr>
              <w:rPr>
                <w:sz w:val="20"/>
              </w:rPr>
            </w:pPr>
            <w:r w:rsidRPr="00D667AB">
              <w:rPr>
                <w:sz w:val="20"/>
              </w:rPr>
              <w:t xml:space="preserve">Informal Discussions </w:t>
            </w:r>
          </w:p>
        </w:tc>
        <w:tc>
          <w:tcPr>
            <w:tcW w:w="2835" w:type="dxa"/>
          </w:tcPr>
          <w:p w:rsidR="0007549C" w:rsidRPr="00D667AB" w:rsidRDefault="00D667AB" w:rsidP="00643400">
            <w:pPr>
              <w:rPr>
                <w:sz w:val="20"/>
              </w:rPr>
            </w:pPr>
            <w:r w:rsidRPr="00D667AB">
              <w:rPr>
                <w:b/>
                <w:sz w:val="20"/>
              </w:rPr>
              <w:t>All teachers and TAs, children and parents</w:t>
            </w:r>
          </w:p>
        </w:tc>
        <w:tc>
          <w:tcPr>
            <w:tcW w:w="2551" w:type="dxa"/>
          </w:tcPr>
          <w:p w:rsidR="0007549C" w:rsidRPr="00D667AB" w:rsidRDefault="00D667AB" w:rsidP="00643400">
            <w:pPr>
              <w:rPr>
                <w:b/>
                <w:sz w:val="20"/>
              </w:rPr>
            </w:pPr>
            <w:r w:rsidRPr="00D667AB">
              <w:rPr>
                <w:b/>
                <w:sz w:val="20"/>
              </w:rPr>
              <w:t>Ongoing during learning sessions and over time</w:t>
            </w:r>
          </w:p>
        </w:tc>
      </w:tr>
      <w:tr w:rsidR="0007549C" w:rsidTr="0007549C">
        <w:tc>
          <w:tcPr>
            <w:tcW w:w="3114" w:type="dxa"/>
          </w:tcPr>
          <w:p w:rsidR="0007549C" w:rsidRPr="00D667AB" w:rsidRDefault="0007549C" w:rsidP="00643400">
            <w:pPr>
              <w:rPr>
                <w:sz w:val="20"/>
              </w:rPr>
            </w:pPr>
            <w:r w:rsidRPr="00D667AB">
              <w:rPr>
                <w:sz w:val="20"/>
              </w:rPr>
              <w:t>Parents’ Evenings</w:t>
            </w:r>
            <w:r w:rsidR="00D667AB" w:rsidRPr="00D667AB">
              <w:rPr>
                <w:sz w:val="20"/>
              </w:rPr>
              <w:t>/ open evenings</w:t>
            </w:r>
          </w:p>
        </w:tc>
        <w:tc>
          <w:tcPr>
            <w:tcW w:w="2835" w:type="dxa"/>
          </w:tcPr>
          <w:p w:rsidR="0007549C" w:rsidRPr="00D667AB" w:rsidRDefault="00D667AB" w:rsidP="00643400">
            <w:pPr>
              <w:rPr>
                <w:b/>
                <w:sz w:val="20"/>
              </w:rPr>
            </w:pPr>
            <w:r w:rsidRPr="00D667AB">
              <w:rPr>
                <w:b/>
                <w:sz w:val="20"/>
              </w:rPr>
              <w:t xml:space="preserve">All teachers </w:t>
            </w:r>
          </w:p>
        </w:tc>
        <w:tc>
          <w:tcPr>
            <w:tcW w:w="2551" w:type="dxa"/>
          </w:tcPr>
          <w:p w:rsidR="0007549C" w:rsidRPr="00D667AB" w:rsidRDefault="00D667AB" w:rsidP="00D667AB">
            <w:pPr>
              <w:rPr>
                <w:b/>
                <w:sz w:val="20"/>
              </w:rPr>
            </w:pPr>
            <w:r w:rsidRPr="00D667AB">
              <w:rPr>
                <w:b/>
                <w:sz w:val="20"/>
              </w:rPr>
              <w:t xml:space="preserve">Three times a year </w:t>
            </w:r>
          </w:p>
        </w:tc>
      </w:tr>
      <w:tr w:rsidR="0007549C" w:rsidTr="0007549C">
        <w:tc>
          <w:tcPr>
            <w:tcW w:w="3114" w:type="dxa"/>
          </w:tcPr>
          <w:p w:rsidR="0007549C" w:rsidRPr="00D667AB" w:rsidRDefault="0007549C" w:rsidP="00643400">
            <w:pPr>
              <w:rPr>
                <w:sz w:val="20"/>
              </w:rPr>
            </w:pPr>
            <w:r w:rsidRPr="00D667AB">
              <w:rPr>
                <w:sz w:val="20"/>
              </w:rPr>
              <w:t>Home-School Book</w:t>
            </w:r>
          </w:p>
        </w:tc>
        <w:tc>
          <w:tcPr>
            <w:tcW w:w="2835" w:type="dxa"/>
          </w:tcPr>
          <w:p w:rsidR="0007549C" w:rsidRPr="00D667AB" w:rsidRDefault="00D667AB" w:rsidP="00643400">
            <w:pPr>
              <w:rPr>
                <w:b/>
                <w:sz w:val="20"/>
              </w:rPr>
            </w:pPr>
            <w:r w:rsidRPr="00D667AB">
              <w:rPr>
                <w:b/>
                <w:sz w:val="20"/>
              </w:rPr>
              <w:t>Teachers and parents</w:t>
            </w:r>
          </w:p>
        </w:tc>
        <w:tc>
          <w:tcPr>
            <w:tcW w:w="2551" w:type="dxa"/>
          </w:tcPr>
          <w:p w:rsidR="0007549C" w:rsidRPr="00D667AB" w:rsidRDefault="00D667AB" w:rsidP="00643400">
            <w:pPr>
              <w:rPr>
                <w:b/>
                <w:sz w:val="20"/>
              </w:rPr>
            </w:pPr>
            <w:r w:rsidRPr="00D667AB">
              <w:rPr>
                <w:b/>
                <w:sz w:val="20"/>
              </w:rPr>
              <w:t>Ongoing- class 1 ,2 and 3</w:t>
            </w:r>
          </w:p>
        </w:tc>
      </w:tr>
      <w:tr w:rsidR="0007549C" w:rsidTr="0007549C">
        <w:tc>
          <w:tcPr>
            <w:tcW w:w="3114" w:type="dxa"/>
          </w:tcPr>
          <w:p w:rsidR="0007549C" w:rsidRPr="00D667AB" w:rsidRDefault="0007549C" w:rsidP="00643400">
            <w:pPr>
              <w:rPr>
                <w:sz w:val="20"/>
              </w:rPr>
            </w:pPr>
            <w:r w:rsidRPr="00D667AB">
              <w:rPr>
                <w:sz w:val="20"/>
              </w:rPr>
              <w:t>Assess, Plan, Do, Review meetings</w:t>
            </w:r>
          </w:p>
        </w:tc>
        <w:tc>
          <w:tcPr>
            <w:tcW w:w="2835" w:type="dxa"/>
          </w:tcPr>
          <w:p w:rsidR="0007549C" w:rsidRPr="00D667AB" w:rsidRDefault="00D667AB" w:rsidP="00643400">
            <w:pPr>
              <w:rPr>
                <w:b/>
                <w:sz w:val="20"/>
              </w:rPr>
            </w:pPr>
            <w:r w:rsidRPr="00D667AB">
              <w:rPr>
                <w:b/>
                <w:sz w:val="20"/>
              </w:rPr>
              <w:t>Teachers, SENCO and children</w:t>
            </w:r>
          </w:p>
        </w:tc>
        <w:tc>
          <w:tcPr>
            <w:tcW w:w="2551" w:type="dxa"/>
          </w:tcPr>
          <w:p w:rsidR="0007549C" w:rsidRPr="00D667AB" w:rsidRDefault="00D667AB" w:rsidP="00643400">
            <w:pPr>
              <w:rPr>
                <w:b/>
                <w:sz w:val="20"/>
              </w:rPr>
            </w:pPr>
            <w:r w:rsidRPr="00D667AB">
              <w:rPr>
                <w:b/>
                <w:sz w:val="20"/>
              </w:rPr>
              <w:t>Termly 3 x a year</w:t>
            </w:r>
          </w:p>
          <w:p w:rsidR="00D667AB" w:rsidRPr="00D667AB" w:rsidRDefault="00D667AB" w:rsidP="00643400">
            <w:pPr>
              <w:rPr>
                <w:b/>
                <w:sz w:val="20"/>
              </w:rPr>
            </w:pPr>
            <w:r w:rsidRPr="00D667AB">
              <w:rPr>
                <w:b/>
                <w:sz w:val="20"/>
              </w:rPr>
              <w:lastRenderedPageBreak/>
              <w:t>However targets are ongoing in our daily practice</w:t>
            </w:r>
          </w:p>
        </w:tc>
      </w:tr>
    </w:tbl>
    <w:p w:rsidR="0007549C" w:rsidRDefault="0007549C" w:rsidP="00335496"/>
    <w:p w:rsidR="0007549C" w:rsidRDefault="0007549C" w:rsidP="00335496"/>
    <w:p w:rsidR="003C757A" w:rsidRDefault="003C757A" w:rsidP="00335496">
      <w:pPr>
        <w:rPr>
          <w:b/>
          <w:u w:val="single"/>
        </w:rPr>
      </w:pPr>
      <w:r>
        <w:rPr>
          <w:b/>
          <w:u w:val="single"/>
        </w:rPr>
        <w:t xml:space="preserve"> </w:t>
      </w:r>
      <w:proofErr w:type="gramStart"/>
      <w:r>
        <w:rPr>
          <w:b/>
          <w:u w:val="single"/>
        </w:rPr>
        <w:t>The Assess</w:t>
      </w:r>
      <w:proofErr w:type="gramEnd"/>
      <w:r>
        <w:rPr>
          <w:b/>
          <w:u w:val="single"/>
        </w:rPr>
        <w:t>, Plan, Do, Review Cycle:</w:t>
      </w:r>
    </w:p>
    <w:p w:rsidR="00CA7048" w:rsidRDefault="003C757A" w:rsidP="00335496">
      <w:r w:rsidRPr="003C757A">
        <w:t xml:space="preserve">For children/young people </w:t>
      </w:r>
      <w:r w:rsidR="005E52AA">
        <w:t>on our Record of Need</w:t>
      </w:r>
      <w:r w:rsidRPr="003C757A">
        <w:t>, an Assess, Plan, Do, Review cycle will be established by</w:t>
      </w:r>
      <w:r w:rsidR="00CA7048">
        <w:t xml:space="preserve"> the class teacher and/ or the SENDCO in</w:t>
      </w:r>
      <w:r w:rsidRPr="003C757A">
        <w:t xml:space="preserve"> partnership with the ch</w:t>
      </w:r>
      <w:r w:rsidR="00CA7048">
        <w:t xml:space="preserve">ild/young person, their parents. </w:t>
      </w:r>
      <w:r w:rsidR="005E52AA">
        <w:t>Please see our SEN</w:t>
      </w:r>
      <w:r w:rsidR="00CA7048">
        <w:t>D</w:t>
      </w:r>
      <w:r w:rsidR="005E52AA">
        <w:t xml:space="preserve"> Policy for further details.</w:t>
      </w:r>
    </w:p>
    <w:p w:rsidR="005E52AA" w:rsidRPr="003C757A" w:rsidRDefault="005E52AA" w:rsidP="00335496">
      <w:r>
        <w:t>This year, provision made for children/young people on our Record of Need has been:</w:t>
      </w:r>
    </w:p>
    <w:p w:rsidR="002F433E" w:rsidRDefault="002F433E" w:rsidP="002F433E">
      <w:pPr>
        <w:pStyle w:val="ListParagraph"/>
        <w:numPr>
          <w:ilvl w:val="0"/>
          <w:numId w:val="4"/>
        </w:numPr>
      </w:pPr>
      <w:r>
        <w:t xml:space="preserve">Communication and Interaction – </w:t>
      </w:r>
      <w:r w:rsidR="00CA7048">
        <w:t>Speech and Language support from TLAT, NHS Speech and Language support</w:t>
      </w:r>
    </w:p>
    <w:p w:rsidR="002F433E" w:rsidRDefault="00CA7048" w:rsidP="002F433E">
      <w:pPr>
        <w:pStyle w:val="ListParagraph"/>
        <w:numPr>
          <w:ilvl w:val="0"/>
          <w:numId w:val="4"/>
        </w:numPr>
      </w:pPr>
      <w:r>
        <w:t>Cognition and Learning – Inclusive classrooms and removal of barriers to learning</w:t>
      </w:r>
    </w:p>
    <w:p w:rsidR="002F433E" w:rsidRDefault="002F433E" w:rsidP="002F433E">
      <w:pPr>
        <w:pStyle w:val="ListParagraph"/>
        <w:numPr>
          <w:ilvl w:val="0"/>
          <w:numId w:val="4"/>
        </w:numPr>
      </w:pPr>
      <w:r>
        <w:t xml:space="preserve">Social, Emotional and Mental Health – </w:t>
      </w:r>
      <w:r w:rsidR="00CA7048">
        <w:t xml:space="preserve">Forest School an Trauma Informed Schools </w:t>
      </w:r>
    </w:p>
    <w:p w:rsidR="002F433E" w:rsidRDefault="002F433E" w:rsidP="002F433E">
      <w:pPr>
        <w:pStyle w:val="ListParagraph"/>
        <w:numPr>
          <w:ilvl w:val="0"/>
          <w:numId w:val="4"/>
        </w:numPr>
      </w:pPr>
      <w:r>
        <w:t xml:space="preserve">Sensory and/or Physical Needs – </w:t>
      </w:r>
      <w:r w:rsidR="00CA7048">
        <w:t>Fun- fit and access to the Occupation Therapy team</w:t>
      </w:r>
    </w:p>
    <w:p w:rsidR="002F433E" w:rsidRDefault="005E52AA" w:rsidP="002F433E">
      <w:r>
        <w:t xml:space="preserve">During the </w:t>
      </w:r>
      <w:r w:rsidR="00C32E68">
        <w:t>2017/18</w:t>
      </w:r>
      <w:r>
        <w:t xml:space="preserve"> academic year, we had</w:t>
      </w:r>
      <w:r w:rsidR="002F433E">
        <w:t xml:space="preserve"> </w:t>
      </w:r>
      <w:r w:rsidR="00C32E68">
        <w:t>15</w:t>
      </w:r>
      <w:r w:rsidR="002F433E">
        <w:t xml:space="preserve"> Children/</w:t>
      </w:r>
      <w:r>
        <w:t>young people receiving SEN</w:t>
      </w:r>
      <w:r w:rsidR="00C32E68">
        <w:t>D</w:t>
      </w:r>
      <w:r>
        <w:t xml:space="preserve"> Support and </w:t>
      </w:r>
      <w:r w:rsidR="00C32E68">
        <w:t xml:space="preserve">4 </w:t>
      </w:r>
      <w:r>
        <w:t>children/young people with Education, Health and Care Plans or Statements of Educational Need.</w:t>
      </w:r>
    </w:p>
    <w:p w:rsidR="002F433E" w:rsidRDefault="002F433E" w:rsidP="002F433E">
      <w:r>
        <w:t>We monitor the quality of this provision by</w:t>
      </w:r>
      <w:r w:rsidR="00C32E68">
        <w:t xml:space="preserve"> observing teaching and learning in the classroom and scrutinising teachers planning. </w:t>
      </w:r>
    </w:p>
    <w:p w:rsidR="00391FF5" w:rsidRDefault="00BF25D2" w:rsidP="002F433E">
      <w:r>
        <w:t>We measure the impact of this provision</w:t>
      </w:r>
      <w:r w:rsidR="002F433E">
        <w:t xml:space="preserve"> by</w:t>
      </w:r>
      <w:r w:rsidR="00C32E68">
        <w:t xml:space="preserve"> monitoring </w:t>
      </w:r>
      <w:proofErr w:type="gramStart"/>
      <w:r w:rsidR="00C32E68">
        <w:t>pupils</w:t>
      </w:r>
      <w:proofErr w:type="gramEnd"/>
      <w:r w:rsidR="00C32E68">
        <w:t xml:space="preserve"> progress over time, no matter how small the steps are. The school has tracking tools to check the progress for every child every month as well as half termly.</w:t>
      </w:r>
    </w:p>
    <w:p w:rsidR="00391FF5" w:rsidRDefault="00391FF5" w:rsidP="002F433E">
      <w:pPr>
        <w:rPr>
          <w:b/>
          <w:u w:val="single"/>
        </w:rPr>
      </w:pPr>
      <w:r>
        <w:rPr>
          <w:b/>
          <w:u w:val="single"/>
        </w:rPr>
        <w:t>Support Staff Deployment:</w:t>
      </w:r>
    </w:p>
    <w:p w:rsidR="00391FF5" w:rsidRDefault="00391FF5" w:rsidP="002F433E">
      <w:r>
        <w:t>Support staff are deployed in a number of roles:</w:t>
      </w:r>
    </w:p>
    <w:p w:rsidR="00391FF5" w:rsidRDefault="00391FF5" w:rsidP="00391FF5">
      <w:pPr>
        <w:pStyle w:val="ListParagraph"/>
        <w:numPr>
          <w:ilvl w:val="0"/>
          <w:numId w:val="5"/>
        </w:numPr>
      </w:pPr>
      <w:r>
        <w:t xml:space="preserve"> </w:t>
      </w:r>
      <w:r w:rsidR="00CA7048">
        <w:t xml:space="preserve">1-1 support for specific pupils who vary in need- ASD/ ADHD/ Dyspraxia/ Dyslexia/ SEMH/ Physical. </w:t>
      </w:r>
    </w:p>
    <w:p w:rsidR="00391FF5" w:rsidRDefault="00391FF5" w:rsidP="00391FF5">
      <w:pPr>
        <w:pStyle w:val="ListParagraph"/>
        <w:numPr>
          <w:ilvl w:val="0"/>
          <w:numId w:val="5"/>
        </w:numPr>
      </w:pPr>
      <w:r>
        <w:t xml:space="preserve"> </w:t>
      </w:r>
      <w:r w:rsidR="00CA7048">
        <w:t>Additional support from teaching assistants for our vulnerable pupils with SEMH and those not on the SEND re</w:t>
      </w:r>
      <w:r w:rsidR="008F51D6">
        <w:t>cord of need</w:t>
      </w:r>
      <w:r w:rsidR="00CA7048">
        <w:t>.</w:t>
      </w:r>
    </w:p>
    <w:p w:rsidR="00391FF5" w:rsidRDefault="00391FF5" w:rsidP="00391FF5">
      <w:pPr>
        <w:pStyle w:val="ListParagraph"/>
        <w:numPr>
          <w:ilvl w:val="0"/>
          <w:numId w:val="5"/>
        </w:numPr>
      </w:pPr>
      <w:r>
        <w:t xml:space="preserve"> </w:t>
      </w:r>
      <w:r w:rsidR="00CA7048">
        <w:t xml:space="preserve">Interventions for those pupils needing additional support with literacy and numeracy skills. </w:t>
      </w:r>
    </w:p>
    <w:p w:rsidR="00391FF5" w:rsidRDefault="00391FF5" w:rsidP="00391FF5">
      <w:r>
        <w:t>We monitor the quality and impact of this support by</w:t>
      </w:r>
      <w:r w:rsidR="008F51D6">
        <w:t xml:space="preserve"> reviewing the support monthly, half termly or termly as well as annually. </w:t>
      </w:r>
    </w:p>
    <w:p w:rsidR="00391FF5" w:rsidRDefault="00F24BD3" w:rsidP="00391FF5">
      <w:pPr>
        <w:rPr>
          <w:b/>
          <w:u w:val="single"/>
        </w:rPr>
      </w:pPr>
      <w:r>
        <w:rPr>
          <w:b/>
          <w:u w:val="single"/>
        </w:rPr>
        <w:t>Distribution of Funds for SEN:</w:t>
      </w:r>
    </w:p>
    <w:p w:rsidR="00F24BD3" w:rsidRDefault="00F24BD3" w:rsidP="00391FF5">
      <w:r>
        <w:t>This year, the budget for SEN and Inclusion was £</w:t>
      </w:r>
    </w:p>
    <w:p w:rsidR="00F24BD3" w:rsidRDefault="00F24BD3" w:rsidP="00391FF5">
      <w:r>
        <w:t>This was allocated in the following ways:</w:t>
      </w:r>
    </w:p>
    <w:p w:rsidR="00F24BD3" w:rsidRDefault="00F24BD3" w:rsidP="00F24BD3">
      <w:pPr>
        <w:pStyle w:val="ListParagraph"/>
        <w:numPr>
          <w:ilvl w:val="0"/>
          <w:numId w:val="5"/>
        </w:numPr>
      </w:pPr>
      <w:r>
        <w:t>Support staff</w:t>
      </w:r>
    </w:p>
    <w:p w:rsidR="00F24BD3" w:rsidRDefault="00F24BD3" w:rsidP="00F24BD3">
      <w:pPr>
        <w:pStyle w:val="ListParagraph"/>
        <w:numPr>
          <w:ilvl w:val="0"/>
          <w:numId w:val="5"/>
        </w:numPr>
      </w:pPr>
      <w:r>
        <w:t>External Services (See School Offer)</w:t>
      </w:r>
    </w:p>
    <w:p w:rsidR="00F24BD3" w:rsidRDefault="00F24BD3" w:rsidP="00F24BD3">
      <w:pPr>
        <w:pStyle w:val="ListParagraph"/>
        <w:numPr>
          <w:ilvl w:val="0"/>
          <w:numId w:val="5"/>
        </w:numPr>
      </w:pPr>
      <w:r>
        <w:t>Teaching and Learning resources</w:t>
      </w:r>
    </w:p>
    <w:p w:rsidR="00F24BD3" w:rsidRDefault="00A0378D" w:rsidP="00E87DC9">
      <w:pPr>
        <w:pStyle w:val="ListParagraph"/>
        <w:numPr>
          <w:ilvl w:val="0"/>
          <w:numId w:val="5"/>
        </w:numPr>
      </w:pPr>
      <w:r>
        <w:lastRenderedPageBreak/>
        <w:t>Staff training</w:t>
      </w:r>
    </w:p>
    <w:p w:rsidR="00A0378D" w:rsidRDefault="00A0378D" w:rsidP="00A0378D">
      <w:pPr>
        <w:rPr>
          <w:b/>
          <w:u w:val="single"/>
        </w:rPr>
      </w:pPr>
      <w:r>
        <w:rPr>
          <w:b/>
          <w:u w:val="single"/>
        </w:rPr>
        <w:t>Continuing Development of Staff Skills:</w:t>
      </w:r>
    </w:p>
    <w:tbl>
      <w:tblPr>
        <w:tblStyle w:val="TableGrid"/>
        <w:tblW w:w="0" w:type="auto"/>
        <w:tblLook w:val="04A0" w:firstRow="1" w:lastRow="0" w:firstColumn="1" w:lastColumn="0" w:noHBand="0" w:noVBand="1"/>
      </w:tblPr>
      <w:tblGrid>
        <w:gridCol w:w="3005"/>
        <w:gridCol w:w="3005"/>
        <w:gridCol w:w="3006"/>
      </w:tblGrid>
      <w:tr w:rsidR="00A0378D" w:rsidRPr="00391FF5" w:rsidTr="00643400">
        <w:tc>
          <w:tcPr>
            <w:tcW w:w="3005" w:type="dxa"/>
          </w:tcPr>
          <w:p w:rsidR="00A0378D" w:rsidRPr="00391FF5" w:rsidRDefault="00A0378D" w:rsidP="00643400">
            <w:pPr>
              <w:rPr>
                <w:b/>
                <w:u w:val="single"/>
              </w:rPr>
            </w:pPr>
            <w:r w:rsidRPr="00391FF5">
              <w:rPr>
                <w:b/>
                <w:u w:val="single"/>
              </w:rPr>
              <w:t>Area of Knowledge/Skill</w:t>
            </w:r>
          </w:p>
        </w:tc>
        <w:tc>
          <w:tcPr>
            <w:tcW w:w="3005" w:type="dxa"/>
          </w:tcPr>
          <w:p w:rsidR="00A0378D" w:rsidRPr="00391FF5" w:rsidRDefault="00A0378D" w:rsidP="00643400">
            <w:pPr>
              <w:rPr>
                <w:b/>
                <w:u w:val="single"/>
              </w:rPr>
            </w:pPr>
            <w:r>
              <w:rPr>
                <w:b/>
                <w:u w:val="single"/>
              </w:rPr>
              <w:t>Staff Member</w:t>
            </w:r>
          </w:p>
        </w:tc>
        <w:tc>
          <w:tcPr>
            <w:tcW w:w="3006" w:type="dxa"/>
          </w:tcPr>
          <w:p w:rsidR="00A0378D" w:rsidRPr="00391FF5" w:rsidRDefault="00A0378D" w:rsidP="00643400">
            <w:pPr>
              <w:rPr>
                <w:b/>
                <w:u w:val="single"/>
              </w:rPr>
            </w:pPr>
            <w:r>
              <w:rPr>
                <w:b/>
                <w:u w:val="single"/>
              </w:rPr>
              <w:t>Training Received</w:t>
            </w:r>
          </w:p>
        </w:tc>
      </w:tr>
      <w:tr w:rsidR="00A0378D" w:rsidTr="00643400">
        <w:tc>
          <w:tcPr>
            <w:tcW w:w="3005" w:type="dxa"/>
          </w:tcPr>
          <w:p w:rsidR="00A0378D" w:rsidRPr="008F51D6" w:rsidRDefault="008F51D6" w:rsidP="00643400">
            <w:pPr>
              <w:rPr>
                <w:b/>
              </w:rPr>
            </w:pPr>
            <w:r w:rsidRPr="008F51D6">
              <w:rPr>
                <w:b/>
              </w:rPr>
              <w:t>Autism Champions</w:t>
            </w:r>
          </w:p>
        </w:tc>
        <w:tc>
          <w:tcPr>
            <w:tcW w:w="3005" w:type="dxa"/>
          </w:tcPr>
          <w:p w:rsidR="00A0378D" w:rsidRPr="008F51D6" w:rsidRDefault="008F51D6" w:rsidP="00643400">
            <w:pPr>
              <w:rPr>
                <w:b/>
              </w:rPr>
            </w:pPr>
            <w:r w:rsidRPr="008F51D6">
              <w:rPr>
                <w:b/>
              </w:rPr>
              <w:t>Eileen Corcoran</w:t>
            </w:r>
          </w:p>
        </w:tc>
        <w:tc>
          <w:tcPr>
            <w:tcW w:w="3006" w:type="dxa"/>
          </w:tcPr>
          <w:p w:rsidR="00A0378D" w:rsidRPr="008F51D6" w:rsidRDefault="008F51D6" w:rsidP="00643400">
            <w:pPr>
              <w:rPr>
                <w:b/>
              </w:rPr>
            </w:pPr>
            <w:r w:rsidRPr="008F51D6">
              <w:rPr>
                <w:b/>
              </w:rPr>
              <w:t xml:space="preserve">ASD Champions </w:t>
            </w:r>
          </w:p>
        </w:tc>
      </w:tr>
      <w:tr w:rsidR="00A0378D" w:rsidTr="00643400">
        <w:tc>
          <w:tcPr>
            <w:tcW w:w="3005" w:type="dxa"/>
          </w:tcPr>
          <w:p w:rsidR="00A0378D" w:rsidRDefault="00A0378D" w:rsidP="00643400">
            <w:pPr>
              <w:rPr>
                <w:b/>
                <w:u w:val="single"/>
              </w:rPr>
            </w:pPr>
          </w:p>
        </w:tc>
        <w:tc>
          <w:tcPr>
            <w:tcW w:w="3005" w:type="dxa"/>
          </w:tcPr>
          <w:p w:rsidR="00A0378D" w:rsidRPr="008F51D6" w:rsidRDefault="008F51D6" w:rsidP="00643400">
            <w:pPr>
              <w:rPr>
                <w:b/>
              </w:rPr>
            </w:pPr>
            <w:r w:rsidRPr="008F51D6">
              <w:rPr>
                <w:b/>
              </w:rPr>
              <w:t>Tim Johnson</w:t>
            </w:r>
          </w:p>
        </w:tc>
        <w:tc>
          <w:tcPr>
            <w:tcW w:w="3006" w:type="dxa"/>
          </w:tcPr>
          <w:p w:rsidR="00A0378D" w:rsidRPr="008F51D6" w:rsidRDefault="008F51D6" w:rsidP="00643400">
            <w:pPr>
              <w:rPr>
                <w:b/>
              </w:rPr>
            </w:pPr>
            <w:r w:rsidRPr="008F51D6">
              <w:rPr>
                <w:b/>
              </w:rPr>
              <w:t>ASD Champions</w:t>
            </w:r>
          </w:p>
        </w:tc>
      </w:tr>
      <w:tr w:rsidR="00A0378D" w:rsidTr="00643400">
        <w:tc>
          <w:tcPr>
            <w:tcW w:w="3005" w:type="dxa"/>
          </w:tcPr>
          <w:p w:rsidR="00A0378D" w:rsidRPr="004F3423" w:rsidRDefault="004F3423" w:rsidP="00643400">
            <w:pPr>
              <w:rPr>
                <w:b/>
              </w:rPr>
            </w:pPr>
            <w:r w:rsidRPr="004F3423">
              <w:rPr>
                <w:b/>
              </w:rPr>
              <w:t>Emotional First Aiders</w:t>
            </w:r>
          </w:p>
        </w:tc>
        <w:tc>
          <w:tcPr>
            <w:tcW w:w="3005" w:type="dxa"/>
          </w:tcPr>
          <w:p w:rsidR="00A0378D" w:rsidRPr="004F3423" w:rsidRDefault="004F3423" w:rsidP="00643400">
            <w:pPr>
              <w:rPr>
                <w:b/>
              </w:rPr>
            </w:pPr>
            <w:r w:rsidRPr="004F3423">
              <w:rPr>
                <w:b/>
              </w:rPr>
              <w:t>Justin Holmes</w:t>
            </w:r>
          </w:p>
        </w:tc>
        <w:tc>
          <w:tcPr>
            <w:tcW w:w="3006" w:type="dxa"/>
          </w:tcPr>
          <w:p w:rsidR="00A0378D" w:rsidRPr="004F3423" w:rsidRDefault="004F3423" w:rsidP="00643400">
            <w:pPr>
              <w:rPr>
                <w:b/>
              </w:rPr>
            </w:pPr>
            <w:r w:rsidRPr="004F3423">
              <w:rPr>
                <w:b/>
              </w:rPr>
              <w:t>EFA trained</w:t>
            </w:r>
          </w:p>
        </w:tc>
      </w:tr>
      <w:tr w:rsidR="00A0378D" w:rsidTr="00643400">
        <w:tc>
          <w:tcPr>
            <w:tcW w:w="3005" w:type="dxa"/>
          </w:tcPr>
          <w:p w:rsidR="00A0378D" w:rsidRPr="004F3423" w:rsidRDefault="00A0378D" w:rsidP="00643400">
            <w:pPr>
              <w:rPr>
                <w:b/>
              </w:rPr>
            </w:pPr>
          </w:p>
        </w:tc>
        <w:tc>
          <w:tcPr>
            <w:tcW w:w="3005" w:type="dxa"/>
          </w:tcPr>
          <w:p w:rsidR="00A0378D" w:rsidRPr="004F3423" w:rsidRDefault="004F3423" w:rsidP="00643400">
            <w:pPr>
              <w:rPr>
                <w:b/>
              </w:rPr>
            </w:pPr>
            <w:r w:rsidRPr="004F3423">
              <w:rPr>
                <w:b/>
              </w:rPr>
              <w:t xml:space="preserve">Cathy </w:t>
            </w:r>
            <w:proofErr w:type="spellStart"/>
            <w:r w:rsidRPr="004F3423">
              <w:rPr>
                <w:b/>
              </w:rPr>
              <w:t>Breslin</w:t>
            </w:r>
            <w:proofErr w:type="spellEnd"/>
          </w:p>
        </w:tc>
        <w:tc>
          <w:tcPr>
            <w:tcW w:w="3006" w:type="dxa"/>
          </w:tcPr>
          <w:p w:rsidR="00A0378D" w:rsidRPr="004F3423" w:rsidRDefault="004F3423" w:rsidP="00643400">
            <w:pPr>
              <w:rPr>
                <w:b/>
              </w:rPr>
            </w:pPr>
            <w:r w:rsidRPr="004F3423">
              <w:rPr>
                <w:b/>
              </w:rPr>
              <w:t>EFA trained</w:t>
            </w:r>
          </w:p>
        </w:tc>
      </w:tr>
      <w:tr w:rsidR="00A0378D" w:rsidTr="00643400">
        <w:tc>
          <w:tcPr>
            <w:tcW w:w="3005" w:type="dxa"/>
          </w:tcPr>
          <w:p w:rsidR="00A0378D" w:rsidRPr="004F3423" w:rsidRDefault="00A0378D" w:rsidP="00643400">
            <w:pPr>
              <w:rPr>
                <w:b/>
              </w:rPr>
            </w:pPr>
          </w:p>
        </w:tc>
        <w:tc>
          <w:tcPr>
            <w:tcW w:w="3005" w:type="dxa"/>
          </w:tcPr>
          <w:p w:rsidR="00A0378D" w:rsidRPr="004F3423" w:rsidRDefault="004F3423" w:rsidP="00643400">
            <w:pPr>
              <w:rPr>
                <w:b/>
              </w:rPr>
            </w:pPr>
            <w:r w:rsidRPr="004F3423">
              <w:rPr>
                <w:b/>
              </w:rPr>
              <w:t xml:space="preserve">Shelley Landry </w:t>
            </w:r>
          </w:p>
        </w:tc>
        <w:tc>
          <w:tcPr>
            <w:tcW w:w="3006" w:type="dxa"/>
          </w:tcPr>
          <w:p w:rsidR="00A0378D" w:rsidRPr="004F3423" w:rsidRDefault="004F3423" w:rsidP="00643400">
            <w:pPr>
              <w:rPr>
                <w:b/>
              </w:rPr>
            </w:pPr>
            <w:r w:rsidRPr="004F3423">
              <w:rPr>
                <w:b/>
              </w:rPr>
              <w:t>EFA trained</w:t>
            </w:r>
          </w:p>
        </w:tc>
      </w:tr>
      <w:tr w:rsidR="00A0378D" w:rsidTr="00643400">
        <w:tc>
          <w:tcPr>
            <w:tcW w:w="3005" w:type="dxa"/>
          </w:tcPr>
          <w:p w:rsidR="00A0378D" w:rsidRPr="004F3423" w:rsidRDefault="004F3423" w:rsidP="00643400">
            <w:pPr>
              <w:rPr>
                <w:b/>
              </w:rPr>
            </w:pPr>
            <w:r w:rsidRPr="004F3423">
              <w:rPr>
                <w:b/>
              </w:rPr>
              <w:t>Trauma Informed Schools</w:t>
            </w:r>
          </w:p>
        </w:tc>
        <w:tc>
          <w:tcPr>
            <w:tcW w:w="3005" w:type="dxa"/>
          </w:tcPr>
          <w:p w:rsidR="00A0378D" w:rsidRPr="004F3423" w:rsidRDefault="004F3423" w:rsidP="00643400">
            <w:pPr>
              <w:rPr>
                <w:b/>
              </w:rPr>
            </w:pPr>
            <w:r w:rsidRPr="004F3423">
              <w:rPr>
                <w:b/>
              </w:rPr>
              <w:t>Shelley Landry</w:t>
            </w:r>
          </w:p>
        </w:tc>
        <w:tc>
          <w:tcPr>
            <w:tcW w:w="3006" w:type="dxa"/>
          </w:tcPr>
          <w:p w:rsidR="00A0378D" w:rsidRPr="004F3423" w:rsidRDefault="004F3423" w:rsidP="00643400">
            <w:pPr>
              <w:rPr>
                <w:b/>
              </w:rPr>
            </w:pPr>
            <w:r w:rsidRPr="004F3423">
              <w:rPr>
                <w:b/>
              </w:rPr>
              <w:t>TIS UK Trained</w:t>
            </w:r>
          </w:p>
        </w:tc>
      </w:tr>
      <w:tr w:rsidR="00A0378D" w:rsidTr="00643400">
        <w:tc>
          <w:tcPr>
            <w:tcW w:w="3005" w:type="dxa"/>
          </w:tcPr>
          <w:p w:rsidR="00A0378D" w:rsidRPr="004F3423" w:rsidRDefault="00A0378D" w:rsidP="00643400">
            <w:pPr>
              <w:rPr>
                <w:b/>
              </w:rPr>
            </w:pPr>
          </w:p>
        </w:tc>
        <w:tc>
          <w:tcPr>
            <w:tcW w:w="3005" w:type="dxa"/>
          </w:tcPr>
          <w:p w:rsidR="00A0378D" w:rsidRPr="004F3423" w:rsidRDefault="004F3423" w:rsidP="00643400">
            <w:pPr>
              <w:rPr>
                <w:b/>
              </w:rPr>
            </w:pPr>
            <w:r w:rsidRPr="004F3423">
              <w:rPr>
                <w:b/>
              </w:rPr>
              <w:t>Alison McDonald</w:t>
            </w:r>
          </w:p>
        </w:tc>
        <w:tc>
          <w:tcPr>
            <w:tcW w:w="3006" w:type="dxa"/>
          </w:tcPr>
          <w:p w:rsidR="00A0378D" w:rsidRPr="004F3423" w:rsidRDefault="004F3423" w:rsidP="00643400">
            <w:pPr>
              <w:rPr>
                <w:b/>
              </w:rPr>
            </w:pPr>
            <w:r w:rsidRPr="004F3423">
              <w:rPr>
                <w:b/>
              </w:rPr>
              <w:t>TIS Trained</w:t>
            </w:r>
          </w:p>
        </w:tc>
      </w:tr>
      <w:tr w:rsidR="004F3423" w:rsidTr="00643400">
        <w:tc>
          <w:tcPr>
            <w:tcW w:w="3005" w:type="dxa"/>
          </w:tcPr>
          <w:p w:rsidR="004F3423" w:rsidRDefault="004F3423" w:rsidP="00643400">
            <w:pPr>
              <w:rPr>
                <w:b/>
                <w:u w:val="single"/>
              </w:rPr>
            </w:pPr>
          </w:p>
        </w:tc>
        <w:tc>
          <w:tcPr>
            <w:tcW w:w="3005" w:type="dxa"/>
          </w:tcPr>
          <w:p w:rsidR="004F3423" w:rsidRDefault="004F3423" w:rsidP="00643400">
            <w:pPr>
              <w:rPr>
                <w:b/>
                <w:u w:val="single"/>
              </w:rPr>
            </w:pPr>
          </w:p>
        </w:tc>
        <w:tc>
          <w:tcPr>
            <w:tcW w:w="3006" w:type="dxa"/>
          </w:tcPr>
          <w:p w:rsidR="004F3423" w:rsidRDefault="004F3423" w:rsidP="00643400">
            <w:pPr>
              <w:rPr>
                <w:b/>
                <w:u w:val="single"/>
              </w:rPr>
            </w:pPr>
          </w:p>
        </w:tc>
      </w:tr>
    </w:tbl>
    <w:p w:rsidR="00A0378D" w:rsidRDefault="00A0378D" w:rsidP="00A0378D"/>
    <w:p w:rsidR="00A0378D" w:rsidRDefault="00A0378D" w:rsidP="00A0378D">
      <w:r>
        <w:t>Whole school training this year has included…</w:t>
      </w:r>
    </w:p>
    <w:p w:rsidR="00A0378D" w:rsidRDefault="00A0378D" w:rsidP="00A0378D">
      <w:r>
        <w:t>Groups of Staff have also developed their knowledge of</w:t>
      </w:r>
      <w:r w:rsidR="004F3423">
        <w:t xml:space="preserve"> Dyslexia </w:t>
      </w:r>
      <w:r>
        <w:t>by</w:t>
      </w:r>
      <w:r w:rsidR="004F3423">
        <w:t xml:space="preserve"> twilight training with Cognition and learning advisor from Cornwall Council. </w:t>
      </w:r>
    </w:p>
    <w:p w:rsidR="00A0378D" w:rsidRDefault="00A0378D" w:rsidP="00A0378D">
      <w:r>
        <w:t>We monitor the impact of this training by</w:t>
      </w:r>
      <w:r w:rsidR="008D2E90">
        <w:t xml:space="preserve"> conducting planning scrutinise and also learning walks. </w:t>
      </w:r>
    </w:p>
    <w:p w:rsidR="00A0378D" w:rsidRDefault="00A5103E" w:rsidP="00A0378D">
      <w:pPr>
        <w:rPr>
          <w:b/>
          <w:u w:val="single"/>
        </w:rPr>
      </w:pPr>
      <w:r>
        <w:rPr>
          <w:b/>
          <w:u w:val="single"/>
        </w:rPr>
        <w:t>Partnerships with other schools and how we manage transitions:</w:t>
      </w:r>
    </w:p>
    <w:p w:rsidR="00A5103E" w:rsidRDefault="00A5103E" w:rsidP="00A0378D">
      <w:r>
        <w:t>We work with a number of schools in the area in the following ways:</w:t>
      </w:r>
    </w:p>
    <w:p w:rsidR="00A5103E" w:rsidRDefault="00A5103E" w:rsidP="00A5103E">
      <w:pPr>
        <w:pStyle w:val="ListParagraph"/>
        <w:numPr>
          <w:ilvl w:val="0"/>
          <w:numId w:val="10"/>
        </w:numPr>
      </w:pPr>
      <w:r>
        <w:t xml:space="preserve"> </w:t>
      </w:r>
      <w:r w:rsidR="008D2E90">
        <w:t xml:space="preserve">Work with the Bodmin </w:t>
      </w:r>
      <w:r w:rsidR="00845FDB">
        <w:t xml:space="preserve">College </w:t>
      </w:r>
      <w:r w:rsidR="008D2E90">
        <w:t>vulnerable group to facilitate clear transition for all pupils to Bodmin College for all pupils, SEND and disadvantaged.</w:t>
      </w:r>
    </w:p>
    <w:p w:rsidR="00A5103E" w:rsidRDefault="00A5103E" w:rsidP="00A5103E">
      <w:pPr>
        <w:pStyle w:val="ListParagraph"/>
        <w:numPr>
          <w:ilvl w:val="0"/>
          <w:numId w:val="10"/>
        </w:numPr>
      </w:pPr>
      <w:r>
        <w:t xml:space="preserve"> </w:t>
      </w:r>
      <w:r w:rsidR="008D2E90">
        <w:t xml:space="preserve">Work with feeder pre-school settings to ensure there are good transitions in place for all pupils. </w:t>
      </w:r>
    </w:p>
    <w:p w:rsidR="00A5103E" w:rsidRDefault="00A5103E" w:rsidP="00A5103E">
      <w:pPr>
        <w:pStyle w:val="ListParagraph"/>
        <w:numPr>
          <w:ilvl w:val="0"/>
          <w:numId w:val="10"/>
        </w:numPr>
      </w:pPr>
      <w:r>
        <w:t xml:space="preserve"> </w:t>
      </w:r>
      <w:r w:rsidR="008D2E90">
        <w:t xml:space="preserve">Work with a wide range of agencies and professionals to ensure that transition is good or better before they start our school, whilst moving to our school and as they leave our school to attend secondary school settings. </w:t>
      </w:r>
    </w:p>
    <w:p w:rsidR="00AD1004" w:rsidRDefault="00AD1004" w:rsidP="00A5103E">
      <w:r>
        <w:t xml:space="preserve">This year, </w:t>
      </w:r>
      <w:r w:rsidR="008D2E90">
        <w:t>2</w:t>
      </w:r>
      <w:r>
        <w:t xml:space="preserve"> children/young people requiring SEN Support came to us from our partner schools, with </w:t>
      </w:r>
      <w:r w:rsidR="008D2E90">
        <w:t>0</w:t>
      </w:r>
      <w:r>
        <w:t xml:space="preserve"> children/young people with Education, Health and Care Plans or Statements of Special Educational Need.  </w:t>
      </w:r>
      <w:r w:rsidR="001C3A65">
        <w:t xml:space="preserve"> 6 </w:t>
      </w:r>
      <w:r>
        <w:t xml:space="preserve">children/young people on our Record of Need in </w:t>
      </w:r>
      <w:r w:rsidR="008D2E90">
        <w:t>201</w:t>
      </w:r>
      <w:r w:rsidR="001C3A65">
        <w:t xml:space="preserve">8/19 </w:t>
      </w:r>
      <w:r>
        <w:t>made a successful move to</w:t>
      </w:r>
      <w:r w:rsidR="008D2E90">
        <w:t xml:space="preserve"> Bodmin College.</w:t>
      </w:r>
    </w:p>
    <w:p w:rsidR="00A5103E" w:rsidRDefault="00A5103E" w:rsidP="00A5103E">
      <w:r>
        <w:t>We ensure that the transition from Nu</w:t>
      </w:r>
      <w:r w:rsidR="008D2E90">
        <w:t>rsery to Reception is smooth by inviting parents in to a meet and greet session as well as having pupil transition days.</w:t>
      </w:r>
    </w:p>
    <w:p w:rsidR="00A5103E" w:rsidRDefault="00A5103E" w:rsidP="00A5103E">
      <w:r>
        <w:t>We support the transition from Reception to Year 1 by</w:t>
      </w:r>
      <w:r w:rsidR="008D2E90">
        <w:t xml:space="preserve"> having enhanced transition for vulnerable pupils as well as having transition days for the whole cohort.</w:t>
      </w:r>
    </w:p>
    <w:p w:rsidR="00A5103E" w:rsidRDefault="00A5103E" w:rsidP="00A5103E">
      <w:r>
        <w:t>We help children to make the move from year 2 to 3 by</w:t>
      </w:r>
      <w:r w:rsidR="008D2E90">
        <w:t xml:space="preserve"> having enhanced transition for vulnerable pupils as well as having transition days for the whole cohort.</w:t>
      </w:r>
    </w:p>
    <w:p w:rsidR="00A5103E" w:rsidRDefault="00A5103E" w:rsidP="00A5103E">
      <w:r>
        <w:t>The transition from year 6 to second</w:t>
      </w:r>
      <w:r w:rsidR="008D2E90">
        <w:t xml:space="preserve">ary school is supported through having enhanced transition for vulnerable pupils as well as having transition days for the whole cohort. Pupils also have transition passports to help them make the move. </w:t>
      </w:r>
    </w:p>
    <w:p w:rsidR="00A5103E" w:rsidRDefault="00A5103E" w:rsidP="00A5103E">
      <w:r>
        <w:t>Parents are i</w:t>
      </w:r>
      <w:r w:rsidR="008D2E90">
        <w:t xml:space="preserve">ncluded in this process through having structured conversations about their child and also making sure we are clear of their need. </w:t>
      </w:r>
    </w:p>
    <w:p w:rsidR="00A5103E" w:rsidRDefault="00A5103E" w:rsidP="00A5103E">
      <w:pPr>
        <w:rPr>
          <w:b/>
          <w:u w:val="single"/>
        </w:rPr>
      </w:pPr>
      <w:r>
        <w:rPr>
          <w:b/>
          <w:u w:val="single"/>
        </w:rPr>
        <w:t>Ongoing development:</w:t>
      </w:r>
    </w:p>
    <w:p w:rsidR="00E97203" w:rsidRDefault="00A5103E" w:rsidP="00A5103E">
      <w:r>
        <w:t xml:space="preserve">We work hard to ensure that any </w:t>
      </w:r>
      <w:r w:rsidR="00AD1004">
        <w:t>areas of support for our learners that can be improved are identified and that strategies are put in place to make those improvements.  We do this through our School Developm</w:t>
      </w:r>
      <w:r w:rsidR="008D2E90">
        <w:t xml:space="preserve">ent Plan. </w:t>
      </w:r>
    </w:p>
    <w:p w:rsidR="00E97203" w:rsidRDefault="00E97203" w:rsidP="00A5103E">
      <w:pPr>
        <w:rPr>
          <w:b/>
          <w:u w:val="single"/>
        </w:rPr>
      </w:pPr>
      <w:r>
        <w:rPr>
          <w:b/>
          <w:u w:val="single"/>
        </w:rPr>
        <w:t>Our complaints procedure:</w:t>
      </w:r>
    </w:p>
    <w:p w:rsidR="00E97203" w:rsidRDefault="00E97203" w:rsidP="00A5103E">
      <w:r>
        <w:t>Anyone wishing to make a complaint with regard to SEN</w:t>
      </w:r>
      <w:r w:rsidR="008D2E90">
        <w:t>D support and provision should inform the Headteacher in writing, or visit the office to make an appointment to meet on a face to face basis.</w:t>
      </w:r>
    </w:p>
    <w:p w:rsidR="00E97203" w:rsidRDefault="008D2E90" w:rsidP="00A5103E">
      <w:r>
        <w:t xml:space="preserve">This year we received 0 </w:t>
      </w:r>
      <w:r w:rsidR="00E97203">
        <w:t>complaints with regard to SEN support and provision.</w:t>
      </w:r>
    </w:p>
    <w:p w:rsidR="00E97203" w:rsidRDefault="00E97203" w:rsidP="00A5103E">
      <w:pPr>
        <w:rPr>
          <w:b/>
          <w:u w:val="single"/>
        </w:rPr>
      </w:pPr>
      <w:r>
        <w:rPr>
          <w:b/>
          <w:u w:val="single"/>
        </w:rPr>
        <w:t>Other relevant information and documents:</w:t>
      </w:r>
    </w:p>
    <w:p w:rsidR="00E97203" w:rsidRDefault="00E97203" w:rsidP="00A5103E">
      <w:r>
        <w:t>The Designated Safeguarding Lead in our school is</w:t>
      </w:r>
      <w:r w:rsidR="008D2E90">
        <w:t xml:space="preserve"> </w:t>
      </w:r>
      <w:r w:rsidR="001C3A65">
        <w:t xml:space="preserve">Alison McDonald </w:t>
      </w:r>
      <w:proofErr w:type="gramStart"/>
      <w:r w:rsidR="001C3A65">
        <w:t>(</w:t>
      </w:r>
      <w:r w:rsidR="008D2E90">
        <w:t xml:space="preserve"> Headteacher</w:t>
      </w:r>
      <w:proofErr w:type="gramEnd"/>
      <w:r w:rsidR="008D2E90">
        <w:t>)</w:t>
      </w:r>
    </w:p>
    <w:p w:rsidR="00E97203" w:rsidRDefault="00E97203" w:rsidP="00A5103E">
      <w:r>
        <w:t xml:space="preserve">The </w:t>
      </w:r>
      <w:r w:rsidR="001C3A65">
        <w:t xml:space="preserve">Deputy </w:t>
      </w:r>
      <w:r>
        <w:t xml:space="preserve">Designated </w:t>
      </w:r>
      <w:r w:rsidR="001C3A65">
        <w:t xml:space="preserve">Safeguarding Lead and Safeguarding Coordinator </w:t>
      </w:r>
      <w:r>
        <w:t>in our school is</w:t>
      </w:r>
      <w:r w:rsidR="008D2E90">
        <w:t xml:space="preserve"> </w:t>
      </w:r>
      <w:r w:rsidR="001C3A65">
        <w:t xml:space="preserve">Mrs Shelley </w:t>
      </w:r>
      <w:proofErr w:type="gramStart"/>
      <w:r w:rsidR="001C3A65">
        <w:t xml:space="preserve">Landry </w:t>
      </w:r>
      <w:r w:rsidR="008D2E90">
        <w:t xml:space="preserve"> (</w:t>
      </w:r>
      <w:proofErr w:type="gramEnd"/>
      <w:r w:rsidR="001C3A65">
        <w:t>Pastoral Lead</w:t>
      </w:r>
      <w:r w:rsidR="008D2E90">
        <w:t>)</w:t>
      </w:r>
      <w:r w:rsidR="001C3A65">
        <w:t xml:space="preserve"> </w:t>
      </w:r>
    </w:p>
    <w:p w:rsidR="001C3A65" w:rsidRDefault="001C3A65" w:rsidP="00A5103E">
      <w:r>
        <w:t>The Designated Children in Care lead is Mrs Alison McDonald (Headteacher)</w:t>
      </w:r>
    </w:p>
    <w:p w:rsidR="00E97203" w:rsidRDefault="00E97203" w:rsidP="00A5103E">
      <w:r>
        <w:t xml:space="preserve">The Local Authority’s Offer can be found at </w:t>
      </w:r>
      <w:hyperlink r:id="rId9" w:history="1">
        <w:r w:rsidR="009E596D" w:rsidRPr="00973BC8">
          <w:rPr>
            <w:rStyle w:val="Hyperlink"/>
          </w:rPr>
          <w:t>www.cornwallfisdirectory.org.uk</w:t>
        </w:r>
      </w:hyperlink>
    </w:p>
    <w:p w:rsidR="00E97203" w:rsidRDefault="00E97203" w:rsidP="00A5103E">
      <w:r w:rsidRPr="00603DB7">
        <w:t xml:space="preserve">Our Accessibility Plan can be found on our website </w:t>
      </w:r>
      <w:hyperlink r:id="rId10" w:history="1">
        <w:r w:rsidR="00603DB7" w:rsidRPr="00603DB7">
          <w:rPr>
            <w:rStyle w:val="Hyperlink"/>
          </w:rPr>
          <w:t>https://www.st-marys-bod.cornwall.sch.uk/web/policies/42713</w:t>
        </w:r>
      </w:hyperlink>
    </w:p>
    <w:p w:rsidR="00E97203" w:rsidRDefault="00E97203" w:rsidP="00A5103E">
      <w:r>
        <w:t>Our SEN Policy and School Offer (our contribution to the Local Offer) can be accessed via the links on our website.</w:t>
      </w:r>
    </w:p>
    <w:p w:rsidR="00E97203" w:rsidRDefault="00E97203" w:rsidP="00A5103E">
      <w:r>
        <w:t>Details about our curriculum</w:t>
      </w:r>
      <w:r w:rsidR="007C2BCC">
        <w:t xml:space="preserve"> </w:t>
      </w:r>
      <w:r>
        <w:t>can be view</w:t>
      </w:r>
      <w:r w:rsidR="007C2BCC">
        <w:t xml:space="preserve">ed from the link on our website. </w:t>
      </w:r>
    </w:p>
    <w:p w:rsidR="00E97203" w:rsidRDefault="00E97203" w:rsidP="00A5103E">
      <w:r>
        <w:t>Our SEN Policy, School Offer and Information Report have been written in accordance with the Disability Discrimination Act 1995, the Equality Act 2010 and the Children and Families Act 2014.</w:t>
      </w:r>
    </w:p>
    <w:sectPr w:rsidR="00E9720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39" w:rsidRDefault="00201339" w:rsidP="002F433E">
      <w:pPr>
        <w:spacing w:after="0" w:line="240" w:lineRule="auto"/>
      </w:pPr>
      <w:r>
        <w:separator/>
      </w:r>
    </w:p>
  </w:endnote>
  <w:endnote w:type="continuationSeparator" w:id="0">
    <w:p w:rsidR="00201339" w:rsidRDefault="00201339"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3E" w:rsidRDefault="00A5103E">
    <w:pPr>
      <w:pStyle w:val="Footer"/>
    </w:pPr>
    <w:r>
      <w:t>Author of Report:</w:t>
    </w:r>
    <w:r w:rsidR="008F51D6">
      <w:t xml:space="preserve"> Alison McDonald</w:t>
    </w:r>
    <w:r>
      <w:tab/>
    </w:r>
    <w:r>
      <w:tab/>
      <w:t xml:space="preserve">Date of report: </w:t>
    </w:r>
    <w:r w:rsidR="008F51D6">
      <w:t xml:space="preserve">July </w:t>
    </w:r>
    <w:r w:rsidR="00845FDB">
      <w:t>19</w:t>
    </w:r>
  </w:p>
  <w:p w:rsidR="008F51D6" w:rsidRDefault="008F5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39" w:rsidRDefault="00201339" w:rsidP="002F433E">
      <w:pPr>
        <w:spacing w:after="0" w:line="240" w:lineRule="auto"/>
      </w:pPr>
      <w:r>
        <w:separator/>
      </w:r>
    </w:p>
  </w:footnote>
  <w:footnote w:type="continuationSeparator" w:id="0">
    <w:p w:rsidR="00201339" w:rsidRDefault="00201339" w:rsidP="002F4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6D" w:rsidRPr="009E596D" w:rsidRDefault="009E596D" w:rsidP="009E596D">
    <w:pPr>
      <w:pStyle w:val="NoSpacing"/>
      <w:rPr>
        <w:rFonts w:ascii="Arial" w:hAnsi="Arial" w:cs="Arial"/>
        <w:b/>
        <w:sz w:val="32"/>
      </w:rPr>
    </w:pPr>
    <w:r>
      <w:rPr>
        <w:rFonts w:ascii="Arial" w:hAnsi="Arial" w:cs="Arial"/>
        <w:noProof/>
        <w:sz w:val="36"/>
      </w:rPr>
      <w:drawing>
        <wp:anchor distT="0" distB="0" distL="114300" distR="114300" simplePos="0" relativeHeight="251659264" behindDoc="1" locked="0" layoutInCell="1" allowOverlap="1" wp14:anchorId="6FFCDDDD" wp14:editId="52D861CB">
          <wp:simplePos x="0" y="0"/>
          <wp:positionH relativeFrom="column">
            <wp:posOffset>-47625</wp:posOffset>
          </wp:positionH>
          <wp:positionV relativeFrom="paragraph">
            <wp:posOffset>17145</wp:posOffset>
          </wp:positionV>
          <wp:extent cx="628650" cy="807720"/>
          <wp:effectExtent l="0" t="0" r="0" b="0"/>
          <wp:wrapTight wrapText="bothSides">
            <wp:wrapPolygon edited="0">
              <wp:start x="0" y="0"/>
              <wp:lineTo x="0" y="20887"/>
              <wp:lineTo x="20945" y="20887"/>
              <wp:lineTo x="209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rPr>
      <w:drawing>
        <wp:anchor distT="0" distB="0" distL="114300" distR="114300" simplePos="0" relativeHeight="251660288" behindDoc="1" locked="0" layoutInCell="1" allowOverlap="1" wp14:anchorId="3A3D178B" wp14:editId="54BCF481">
          <wp:simplePos x="0" y="0"/>
          <wp:positionH relativeFrom="column">
            <wp:posOffset>5172075</wp:posOffset>
          </wp:positionH>
          <wp:positionV relativeFrom="paragraph">
            <wp:posOffset>-78105</wp:posOffset>
          </wp:positionV>
          <wp:extent cx="1038225" cy="571500"/>
          <wp:effectExtent l="0" t="0" r="9525" b="0"/>
          <wp:wrapTight wrapText="bothSides">
            <wp:wrapPolygon edited="0">
              <wp:start x="0" y="0"/>
              <wp:lineTo x="0" y="20880"/>
              <wp:lineTo x="21402" y="20880"/>
              <wp:lineTo x="21402" y="0"/>
              <wp:lineTo x="0" y="0"/>
            </wp:wrapPolygon>
          </wp:wrapTight>
          <wp:docPr id="3" name="Picture 3" descr="CAST logo small - F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T logo small - F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03E">
      <w:tab/>
    </w:r>
    <w:r w:rsidRPr="009E596D">
      <w:rPr>
        <w:rFonts w:ascii="Arial" w:hAnsi="Arial" w:cs="Arial"/>
        <w:sz w:val="36"/>
      </w:rPr>
      <w:t xml:space="preserve">       </w:t>
    </w:r>
    <w:r>
      <w:rPr>
        <w:rFonts w:ascii="Arial" w:hAnsi="Arial" w:cs="Arial"/>
        <w:sz w:val="36"/>
      </w:rPr>
      <w:t xml:space="preserve">    </w:t>
    </w:r>
    <w:r w:rsidRPr="009E596D">
      <w:rPr>
        <w:rFonts w:ascii="Arial" w:hAnsi="Arial" w:cs="Arial"/>
        <w:b/>
        <w:sz w:val="32"/>
      </w:rPr>
      <w:t>St. Mary's Catholic Primary School</w:t>
    </w:r>
  </w:p>
  <w:p w:rsidR="009E596D" w:rsidRPr="009E596D" w:rsidRDefault="009E596D" w:rsidP="009E596D">
    <w:pPr>
      <w:spacing w:after="0" w:line="240" w:lineRule="auto"/>
      <w:jc w:val="center"/>
      <w:rPr>
        <w:rFonts w:ascii="Arial" w:eastAsia="Times New Roman" w:hAnsi="Arial" w:cs="Arial"/>
        <w:color w:val="FF0000"/>
        <w:sz w:val="32"/>
        <w:lang w:eastAsia="en-GB"/>
      </w:rPr>
    </w:pPr>
    <w:r w:rsidRPr="009E596D">
      <w:rPr>
        <w:rFonts w:ascii="Arial" w:eastAsia="Times New Roman" w:hAnsi="Arial" w:cs="Arial"/>
        <w:color w:val="0070C0"/>
        <w:sz w:val="32"/>
        <w:lang w:eastAsia="en-GB"/>
      </w:rPr>
      <w:t>Educate</w:t>
    </w:r>
    <w:r w:rsidRPr="009E596D">
      <w:rPr>
        <w:rFonts w:ascii="Arial" w:eastAsia="Times New Roman" w:hAnsi="Arial" w:cs="Arial"/>
        <w:color w:val="00B050"/>
        <w:sz w:val="32"/>
        <w:lang w:eastAsia="en-GB"/>
      </w:rPr>
      <w:t xml:space="preserve"> Protect</w:t>
    </w:r>
    <w:r w:rsidRPr="009E596D">
      <w:rPr>
        <w:rFonts w:ascii="Arial" w:eastAsia="Times New Roman" w:hAnsi="Arial" w:cs="Arial"/>
        <w:sz w:val="32"/>
        <w:lang w:eastAsia="en-GB"/>
      </w:rPr>
      <w:t xml:space="preserve"> </w:t>
    </w:r>
    <w:r w:rsidRPr="009E596D">
      <w:rPr>
        <w:rFonts w:ascii="Arial" w:eastAsia="Times New Roman" w:hAnsi="Arial" w:cs="Arial"/>
        <w:color w:val="7030A0"/>
        <w:sz w:val="32"/>
        <w:lang w:eastAsia="en-GB"/>
      </w:rPr>
      <w:t>Love</w:t>
    </w:r>
    <w:r w:rsidRPr="009E596D">
      <w:rPr>
        <w:rFonts w:ascii="Arial" w:eastAsia="Times New Roman" w:hAnsi="Arial" w:cs="Arial"/>
        <w:color w:val="FF0000"/>
        <w:sz w:val="32"/>
        <w:lang w:eastAsia="en-GB"/>
      </w:rPr>
      <w:t xml:space="preserve"> Serve</w:t>
    </w:r>
  </w:p>
  <w:p w:rsidR="009E596D" w:rsidRPr="009E596D" w:rsidRDefault="009E596D" w:rsidP="009E596D">
    <w:pPr>
      <w:spacing w:after="0" w:line="240" w:lineRule="auto"/>
      <w:rPr>
        <w:rFonts w:ascii="Times New Roman" w:eastAsia="Times New Roman" w:hAnsi="Times New Roman" w:cs="Times New Roman"/>
        <w:color w:val="FF0000"/>
        <w:sz w:val="14"/>
        <w:lang w:eastAsia="en-GB"/>
      </w:rPr>
    </w:pPr>
  </w:p>
  <w:p w:rsidR="002F433E" w:rsidRDefault="002F433E">
    <w:pPr>
      <w:pStyle w:val="Header"/>
    </w:pPr>
  </w:p>
  <w:p w:rsidR="00A5103E" w:rsidRDefault="00A5103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2pt;height:192pt" o:bullet="t">
        <v:imagedata r:id="rId1" o:title="ok[1]"/>
      </v:shape>
    </w:pict>
  </w:numPicBullet>
  <w:abstractNum w:abstractNumId="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4"/>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3E"/>
    <w:rsid w:val="0007549C"/>
    <w:rsid w:val="000B5CD5"/>
    <w:rsid w:val="001C3A65"/>
    <w:rsid w:val="00201339"/>
    <w:rsid w:val="002F433E"/>
    <w:rsid w:val="00335496"/>
    <w:rsid w:val="003659D5"/>
    <w:rsid w:val="00391FF5"/>
    <w:rsid w:val="003C757A"/>
    <w:rsid w:val="004E43CD"/>
    <w:rsid w:val="004F3423"/>
    <w:rsid w:val="00586F28"/>
    <w:rsid w:val="005E52AA"/>
    <w:rsid w:val="005E6517"/>
    <w:rsid w:val="00603DB7"/>
    <w:rsid w:val="007C2BCC"/>
    <w:rsid w:val="00845FDB"/>
    <w:rsid w:val="008D2E90"/>
    <w:rsid w:val="008E3071"/>
    <w:rsid w:val="008F51D6"/>
    <w:rsid w:val="009B6AB8"/>
    <w:rsid w:val="009E596D"/>
    <w:rsid w:val="00A0378D"/>
    <w:rsid w:val="00A34490"/>
    <w:rsid w:val="00A35EE2"/>
    <w:rsid w:val="00A5103E"/>
    <w:rsid w:val="00AD1004"/>
    <w:rsid w:val="00BF25D2"/>
    <w:rsid w:val="00C32E68"/>
    <w:rsid w:val="00CA7048"/>
    <w:rsid w:val="00D667AB"/>
    <w:rsid w:val="00DD19A7"/>
    <w:rsid w:val="00E37A33"/>
    <w:rsid w:val="00E97203"/>
    <w:rsid w:val="00EC0E5B"/>
    <w:rsid w:val="00F24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 w:type="character" w:styleId="FollowedHyperlink">
    <w:name w:val="FollowedHyperlink"/>
    <w:basedOn w:val="DefaultParagraphFont"/>
    <w:uiPriority w:val="99"/>
    <w:semiHidden/>
    <w:unhideWhenUsed/>
    <w:rsid w:val="00D667AB"/>
    <w:rPr>
      <w:color w:val="954F72" w:themeColor="followedHyperlink"/>
      <w:u w:val="single"/>
    </w:rPr>
  </w:style>
  <w:style w:type="paragraph" w:styleId="NoSpacing">
    <w:name w:val="No Spacing"/>
    <w:uiPriority w:val="1"/>
    <w:qFormat/>
    <w:rsid w:val="009E596D"/>
    <w:pPr>
      <w:spacing w:after="0" w:line="240" w:lineRule="auto"/>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 w:type="character" w:styleId="FollowedHyperlink">
    <w:name w:val="FollowedHyperlink"/>
    <w:basedOn w:val="DefaultParagraphFont"/>
    <w:uiPriority w:val="99"/>
    <w:semiHidden/>
    <w:unhideWhenUsed/>
    <w:rsid w:val="00D667AB"/>
    <w:rPr>
      <w:color w:val="954F72" w:themeColor="followedHyperlink"/>
      <w:u w:val="single"/>
    </w:rPr>
  </w:style>
  <w:style w:type="paragraph" w:styleId="NoSpacing">
    <w:name w:val="No Spacing"/>
    <w:uiPriority w:val="1"/>
    <w:qFormat/>
    <w:rsid w:val="009E596D"/>
    <w:pPr>
      <w:spacing w:after="0"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ys-bod.cornwall.sch.uk/web/school_offer_for_send_2018-19/3704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t-marys-bod.cornwall.sch.uk/web/policies/42713" TargetMode="External"/><Relationship Id="rId4" Type="http://schemas.openxmlformats.org/officeDocument/2006/relationships/settings" Target="settings.xml"/><Relationship Id="rId9" Type="http://schemas.openxmlformats.org/officeDocument/2006/relationships/hyperlink" Target="http://www.cornwallfisdirectory.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Alison McDonald</cp:lastModifiedBy>
  <cp:revision>2</cp:revision>
  <cp:lastPrinted>2015-07-02T08:35:00Z</cp:lastPrinted>
  <dcterms:created xsi:type="dcterms:W3CDTF">2019-07-23T10:24:00Z</dcterms:created>
  <dcterms:modified xsi:type="dcterms:W3CDTF">2019-07-23T10:24:00Z</dcterms:modified>
</cp:coreProperties>
</file>