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8619"/>
      </w:tblGrid>
      <w:tr w:rsidR="00795F19" w:rsidRPr="001A3974" w:rsidTr="007D75FA">
        <w:tc>
          <w:tcPr>
            <w:tcW w:w="1078" w:type="pct"/>
          </w:tcPr>
          <w:p w:rsidR="00795F19" w:rsidRPr="001A3974" w:rsidRDefault="00795F19" w:rsidP="00795F19">
            <w:pPr>
              <w:pStyle w:val="NoSpacing"/>
              <w:jc w:val="center"/>
              <w:rPr>
                <w:rFonts w:asciiTheme="minorHAnsi" w:hAnsiTheme="minorHAnsi" w:cstheme="minorHAnsi"/>
                <w:b/>
                <w:sz w:val="28"/>
                <w:szCs w:val="24"/>
              </w:rPr>
            </w:pPr>
            <w:r w:rsidRPr="001A3974">
              <w:rPr>
                <w:rFonts w:asciiTheme="minorHAnsi" w:hAnsiTheme="minorHAnsi" w:cstheme="minorHAnsi"/>
                <w:b/>
                <w:sz w:val="28"/>
                <w:szCs w:val="24"/>
              </w:rPr>
              <w:t>UNIT</w:t>
            </w:r>
          </w:p>
        </w:tc>
        <w:tc>
          <w:tcPr>
            <w:tcW w:w="3922" w:type="pct"/>
          </w:tcPr>
          <w:p w:rsidR="00795F19" w:rsidRPr="001A3974" w:rsidRDefault="00E40790" w:rsidP="00795F19">
            <w:pPr>
              <w:pStyle w:val="NoSpacing"/>
              <w:jc w:val="center"/>
              <w:rPr>
                <w:rFonts w:asciiTheme="minorHAnsi" w:hAnsiTheme="minorHAnsi" w:cstheme="minorHAnsi"/>
                <w:b/>
                <w:sz w:val="28"/>
                <w:szCs w:val="24"/>
              </w:rPr>
            </w:pPr>
            <w:r>
              <w:rPr>
                <w:rFonts w:asciiTheme="minorHAnsi" w:hAnsiTheme="minorHAnsi" w:cstheme="minorHAnsi"/>
                <w:b/>
                <w:sz w:val="28"/>
                <w:szCs w:val="24"/>
              </w:rPr>
              <w:t>RE 2019/20</w:t>
            </w:r>
            <w:bookmarkStart w:id="0" w:name="_GoBack"/>
            <w:bookmarkEnd w:id="0"/>
          </w:p>
        </w:tc>
      </w:tr>
      <w:tr w:rsidR="00795F19" w:rsidRPr="001A3974" w:rsidTr="00795F19">
        <w:trPr>
          <w:trHeight w:val="425"/>
        </w:trPr>
        <w:tc>
          <w:tcPr>
            <w:tcW w:w="5000" w:type="pct"/>
            <w:gridSpan w:val="2"/>
            <w:shd w:val="clear" w:color="auto" w:fill="FFC000"/>
            <w:vAlign w:val="center"/>
          </w:tcPr>
          <w:p w:rsidR="00795F19" w:rsidRPr="001A3974" w:rsidRDefault="00795F19" w:rsidP="00795F19">
            <w:pPr>
              <w:pStyle w:val="NoSpacing"/>
              <w:rPr>
                <w:rFonts w:asciiTheme="minorHAnsi" w:hAnsiTheme="minorHAnsi" w:cstheme="minorHAnsi"/>
                <w:sz w:val="28"/>
                <w:szCs w:val="24"/>
              </w:rPr>
            </w:pPr>
            <w:r w:rsidRPr="001A3974">
              <w:rPr>
                <w:rFonts w:asciiTheme="minorHAnsi" w:hAnsiTheme="minorHAnsi" w:cstheme="minorHAnsi"/>
                <w:b/>
                <w:sz w:val="28"/>
                <w:szCs w:val="24"/>
              </w:rPr>
              <w:t>AUTUMN TERM 2019</w:t>
            </w:r>
          </w:p>
        </w:tc>
      </w:tr>
      <w:tr w:rsidR="00795F19" w:rsidRPr="001A3974" w:rsidTr="007D75FA">
        <w:trPr>
          <w:trHeight w:val="425"/>
        </w:trPr>
        <w:tc>
          <w:tcPr>
            <w:tcW w:w="1078" w:type="pct"/>
            <w:vAlign w:val="center"/>
          </w:tcPr>
          <w:p w:rsidR="00795F19" w:rsidRPr="001A3974" w:rsidRDefault="00795F19"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Creation</w:t>
            </w:r>
          </w:p>
        </w:tc>
        <w:tc>
          <w:tcPr>
            <w:tcW w:w="3922" w:type="pct"/>
            <w:vAlign w:val="center"/>
          </w:tcPr>
          <w:p w:rsidR="00E40790" w:rsidRPr="00E40790" w:rsidRDefault="00E40790" w:rsidP="00E40790">
            <w:pPr>
              <w:pStyle w:val="NoSpacing"/>
              <w:rPr>
                <w:rFonts w:ascii="Twinkl" w:hAnsi="Twinkl" w:cstheme="minorHAnsi"/>
                <w:sz w:val="24"/>
                <w:szCs w:val="24"/>
              </w:rPr>
            </w:pPr>
            <w:r w:rsidRPr="00E40790">
              <w:rPr>
                <w:rFonts w:ascii="Twinkl" w:hAnsi="Twinkl" w:cstheme="minorHAnsi"/>
                <w:sz w:val="24"/>
                <w:szCs w:val="24"/>
              </w:rPr>
              <w:t>This unit explores what it means to be the ‘People of God’ through the eyes of Moses. Having been created by God, we exercise our freedom to deepen our relationship with God and overcome the barriers of jealousy and disharmony. It also highlights the need to follow God’s law and by upholding the commandments, we uphold the will of God. Upholding the will of God involves personal choices and often sacrifices. The nature of this sacrifice is explored in this unit. The work of the Church in overcoming the barriers is also considered.</w:t>
            </w:r>
          </w:p>
          <w:p w:rsidR="00E40790" w:rsidRPr="00E40790" w:rsidRDefault="00E40790" w:rsidP="00E40790">
            <w:pPr>
              <w:pStyle w:val="NoSpacing"/>
              <w:rPr>
                <w:rFonts w:ascii="Twinkl" w:hAnsi="Twinkl" w:cstheme="minorHAnsi"/>
                <w:sz w:val="24"/>
                <w:szCs w:val="24"/>
              </w:rPr>
            </w:pPr>
            <w:r w:rsidRPr="00E40790">
              <w:rPr>
                <w:rFonts w:ascii="Twinkl" w:hAnsi="Twinkl" w:cstheme="minorHAnsi"/>
                <w:sz w:val="24"/>
                <w:szCs w:val="24"/>
              </w:rPr>
              <w:t>By exploring these concepts the children are providing meaning to the line in the Creed which states: “I believe in the Holy Catholic Church”.</w:t>
            </w:r>
          </w:p>
          <w:p w:rsidR="00795F19" w:rsidRPr="007D75FA" w:rsidRDefault="00E40790" w:rsidP="00E40790">
            <w:pPr>
              <w:pStyle w:val="NoSpacing"/>
              <w:rPr>
                <w:rFonts w:ascii="Twinkl" w:hAnsi="Twinkl" w:cstheme="minorHAnsi"/>
                <w:sz w:val="24"/>
                <w:szCs w:val="24"/>
              </w:rPr>
            </w:pPr>
            <w:r w:rsidRPr="00E40790">
              <w:rPr>
                <w:rFonts w:ascii="Twinkl" w:hAnsi="Twinkl" w:cstheme="minorHAnsi"/>
                <w:sz w:val="24"/>
                <w:szCs w:val="24"/>
              </w:rPr>
              <w:t>In the multi-faith element, the importance of the Sabbath for Jews is examined.</w:t>
            </w:r>
          </w:p>
        </w:tc>
      </w:tr>
      <w:tr w:rsidR="00795F19" w:rsidRPr="001A3974" w:rsidTr="007D75FA">
        <w:trPr>
          <w:trHeight w:val="425"/>
        </w:trPr>
        <w:tc>
          <w:tcPr>
            <w:tcW w:w="1078" w:type="pct"/>
            <w:vAlign w:val="center"/>
          </w:tcPr>
          <w:p w:rsidR="00795F19" w:rsidRPr="001A3974" w:rsidRDefault="00795F19"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Prayers Feasts and Saints</w:t>
            </w:r>
          </w:p>
        </w:tc>
        <w:tc>
          <w:tcPr>
            <w:tcW w:w="3922" w:type="pct"/>
            <w:vAlign w:val="center"/>
          </w:tcPr>
          <w:p w:rsidR="00E40790" w:rsidRPr="00E40790" w:rsidRDefault="00E40790" w:rsidP="00E40790">
            <w:pPr>
              <w:pStyle w:val="NoSpacing"/>
              <w:rPr>
                <w:rFonts w:ascii="Twinkl" w:hAnsi="Twinkl" w:cstheme="minorHAnsi"/>
                <w:sz w:val="24"/>
                <w:szCs w:val="24"/>
              </w:rPr>
            </w:pPr>
            <w:r w:rsidRPr="00E40790">
              <w:rPr>
                <w:rFonts w:ascii="Twinkl" w:hAnsi="Twinkl" w:cstheme="minorHAnsi"/>
                <w:sz w:val="24"/>
                <w:szCs w:val="24"/>
              </w:rPr>
              <w:t>This unit explores the concept of heaven and the Church’s belief in Mary and the feasts celebrated in her honour. It examines our understanding of what heaven is.</w:t>
            </w:r>
          </w:p>
          <w:p w:rsidR="00E40790" w:rsidRPr="00E40790" w:rsidRDefault="00E40790" w:rsidP="00E40790">
            <w:pPr>
              <w:pStyle w:val="NoSpacing"/>
              <w:rPr>
                <w:rFonts w:ascii="Twinkl" w:hAnsi="Twinkl" w:cstheme="minorHAnsi"/>
                <w:sz w:val="24"/>
                <w:szCs w:val="24"/>
              </w:rPr>
            </w:pPr>
            <w:r w:rsidRPr="00E40790">
              <w:rPr>
                <w:rFonts w:ascii="Twinkl" w:hAnsi="Twinkl" w:cstheme="minorHAnsi"/>
                <w:sz w:val="24"/>
                <w:szCs w:val="24"/>
              </w:rPr>
              <w:t xml:space="preserve">The children will take a more detailed look at the lives of the Holy Souls and the saints and their significance for us today. </w:t>
            </w:r>
          </w:p>
          <w:p w:rsidR="00795F19" w:rsidRPr="007D75FA" w:rsidRDefault="00E40790" w:rsidP="00E40790">
            <w:pPr>
              <w:pStyle w:val="NoSpacing"/>
              <w:rPr>
                <w:rFonts w:ascii="Twinkl" w:hAnsi="Twinkl" w:cstheme="minorHAnsi"/>
                <w:sz w:val="24"/>
                <w:szCs w:val="24"/>
              </w:rPr>
            </w:pPr>
            <w:r w:rsidRPr="00E40790">
              <w:rPr>
                <w:rFonts w:ascii="Twinkl" w:hAnsi="Twinkl" w:cstheme="minorHAnsi"/>
                <w:sz w:val="24"/>
                <w:szCs w:val="24"/>
              </w:rPr>
              <w:t>In the multi-faith element, the importance of the prophet to the Islamic faith is also covered.</w:t>
            </w:r>
          </w:p>
        </w:tc>
      </w:tr>
      <w:tr w:rsidR="00795F19" w:rsidRPr="001A3974" w:rsidTr="00795F19">
        <w:trPr>
          <w:trHeight w:val="425"/>
        </w:trPr>
        <w:tc>
          <w:tcPr>
            <w:tcW w:w="5000" w:type="pct"/>
            <w:gridSpan w:val="2"/>
            <w:shd w:val="clear" w:color="auto" w:fill="FFE599" w:themeFill="accent4" w:themeFillTint="66"/>
            <w:vAlign w:val="center"/>
          </w:tcPr>
          <w:p w:rsidR="00795F19" w:rsidRPr="0091415D" w:rsidRDefault="00795F19" w:rsidP="00795F19">
            <w:pPr>
              <w:pStyle w:val="NoSpacing"/>
              <w:rPr>
                <w:rFonts w:asciiTheme="minorHAnsi" w:hAnsiTheme="minorHAnsi" w:cstheme="minorHAnsi"/>
                <w:b/>
                <w:color w:val="000000" w:themeColor="text1"/>
                <w:sz w:val="28"/>
                <w:szCs w:val="24"/>
              </w:rPr>
            </w:pPr>
            <w:r w:rsidRPr="0091415D">
              <w:rPr>
                <w:rFonts w:asciiTheme="minorHAnsi" w:hAnsiTheme="minorHAnsi" w:cstheme="minorHAnsi"/>
                <w:b/>
                <w:color w:val="000000" w:themeColor="text1"/>
                <w:sz w:val="28"/>
                <w:szCs w:val="24"/>
              </w:rPr>
              <w:t>Half term 21.10.19</w:t>
            </w:r>
          </w:p>
        </w:tc>
      </w:tr>
      <w:tr w:rsidR="00795F19" w:rsidRPr="001A3974" w:rsidTr="007D75FA">
        <w:trPr>
          <w:trHeight w:val="425"/>
        </w:trPr>
        <w:tc>
          <w:tcPr>
            <w:tcW w:w="1078" w:type="pct"/>
            <w:shd w:val="clear" w:color="auto" w:fill="00B0F0"/>
            <w:vAlign w:val="center"/>
          </w:tcPr>
          <w:p w:rsidR="00795F19" w:rsidRPr="001A3974" w:rsidRDefault="00795F19"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Islam</w:t>
            </w:r>
          </w:p>
        </w:tc>
        <w:tc>
          <w:tcPr>
            <w:tcW w:w="3922" w:type="pct"/>
            <w:shd w:val="clear" w:color="auto" w:fill="00B0F0"/>
            <w:vAlign w:val="center"/>
          </w:tcPr>
          <w:p w:rsidR="00795F19" w:rsidRPr="001A3974" w:rsidRDefault="00795F19" w:rsidP="00795F19">
            <w:pPr>
              <w:pStyle w:val="NoSpacing"/>
              <w:rPr>
                <w:rFonts w:asciiTheme="minorHAnsi" w:hAnsiTheme="minorHAnsi" w:cstheme="minorHAnsi"/>
                <w:sz w:val="28"/>
                <w:szCs w:val="24"/>
              </w:rPr>
            </w:pPr>
          </w:p>
        </w:tc>
      </w:tr>
      <w:tr w:rsidR="00795F19" w:rsidRPr="001A3974" w:rsidTr="007D75FA">
        <w:trPr>
          <w:trHeight w:val="425"/>
        </w:trPr>
        <w:tc>
          <w:tcPr>
            <w:tcW w:w="1078" w:type="pct"/>
            <w:vAlign w:val="center"/>
          </w:tcPr>
          <w:p w:rsidR="00795F19" w:rsidRPr="001A3974" w:rsidRDefault="00795F19"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Sacraments</w:t>
            </w:r>
          </w:p>
        </w:tc>
        <w:tc>
          <w:tcPr>
            <w:tcW w:w="3922" w:type="pct"/>
            <w:vAlign w:val="center"/>
          </w:tcPr>
          <w:p w:rsidR="00795F19" w:rsidRPr="007D75FA" w:rsidRDefault="00E40790" w:rsidP="00795F19">
            <w:pPr>
              <w:pStyle w:val="NoSpacing"/>
              <w:rPr>
                <w:rFonts w:ascii="Twinkl" w:hAnsi="Twinkl" w:cstheme="minorHAnsi"/>
                <w:sz w:val="24"/>
                <w:szCs w:val="24"/>
              </w:rPr>
            </w:pPr>
            <w:r w:rsidRPr="00E40790">
              <w:rPr>
                <w:rFonts w:ascii="Twinkl" w:hAnsi="Twinkl" w:cstheme="minorHAnsi"/>
                <w:sz w:val="24"/>
                <w:szCs w:val="24"/>
              </w:rPr>
              <w:t>This unit builds on all the work undertaken on sacraments in previous years and should enable pupils to explore sacraments at a deeper level. In particular, pupils should understand their own role in the Church as a result.</w:t>
            </w:r>
          </w:p>
        </w:tc>
      </w:tr>
      <w:tr w:rsidR="00795F19" w:rsidRPr="001A3974" w:rsidTr="007D75FA">
        <w:trPr>
          <w:trHeight w:val="425"/>
        </w:trPr>
        <w:tc>
          <w:tcPr>
            <w:tcW w:w="1078" w:type="pct"/>
            <w:vAlign w:val="center"/>
          </w:tcPr>
          <w:p w:rsidR="00795F19" w:rsidRPr="001A3974" w:rsidRDefault="00795F19"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Advent</w:t>
            </w:r>
          </w:p>
        </w:tc>
        <w:tc>
          <w:tcPr>
            <w:tcW w:w="3922" w:type="pct"/>
            <w:vAlign w:val="center"/>
          </w:tcPr>
          <w:p w:rsidR="00795F19" w:rsidRPr="007D75FA" w:rsidRDefault="00E40790" w:rsidP="00795F19">
            <w:pPr>
              <w:pStyle w:val="NoSpacing"/>
              <w:rPr>
                <w:rFonts w:ascii="Twinkl" w:hAnsi="Twinkl" w:cstheme="minorHAnsi"/>
                <w:sz w:val="24"/>
                <w:szCs w:val="24"/>
              </w:rPr>
            </w:pPr>
            <w:r w:rsidRPr="00E40790">
              <w:rPr>
                <w:rFonts w:ascii="Twinkl" w:hAnsi="Twinkl" w:cstheme="minorHAnsi"/>
                <w:sz w:val="24"/>
                <w:szCs w:val="24"/>
              </w:rPr>
              <w:t>This unit builds on work done in previous years in Advent. It provides further detail on the nature of the Messiah who is to come, but provides a deeper opportunity to explore the response demanded of Christ’s followers. The teachings of Christ, through his parables, provide us detailed teaching on watching and being prepared for the coming of God’s Kingdom. The time of Advent is when we also prepare for the Second Coming of Christ through our prayers and by following Christ.</w:t>
            </w:r>
          </w:p>
        </w:tc>
      </w:tr>
      <w:tr w:rsidR="00795F19" w:rsidRPr="001A3974" w:rsidTr="007D75FA">
        <w:trPr>
          <w:trHeight w:val="425"/>
        </w:trPr>
        <w:tc>
          <w:tcPr>
            <w:tcW w:w="1078" w:type="pct"/>
            <w:vAlign w:val="center"/>
          </w:tcPr>
          <w:p w:rsidR="00795F19" w:rsidRPr="001A3974" w:rsidRDefault="00795F19"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Christmas</w:t>
            </w:r>
          </w:p>
        </w:tc>
        <w:tc>
          <w:tcPr>
            <w:tcW w:w="3922" w:type="pct"/>
            <w:vAlign w:val="center"/>
          </w:tcPr>
          <w:p w:rsidR="00E40790" w:rsidRPr="00E40790" w:rsidRDefault="00E40790" w:rsidP="00E40790">
            <w:pPr>
              <w:spacing w:after="0" w:line="240" w:lineRule="auto"/>
              <w:ind w:right="1826"/>
              <w:rPr>
                <w:rFonts w:ascii="Twinkl" w:hAnsi="Twinkl"/>
                <w:sz w:val="24"/>
                <w:szCs w:val="24"/>
              </w:rPr>
            </w:pPr>
            <w:r w:rsidRPr="00E40790">
              <w:rPr>
                <w:rFonts w:ascii="Twinkl" w:hAnsi="Twinkl"/>
                <w:sz w:val="24"/>
                <w:szCs w:val="24"/>
              </w:rPr>
              <w:t>This unit provides an opportun</w:t>
            </w:r>
            <w:r>
              <w:rPr>
                <w:rFonts w:ascii="Twinkl" w:hAnsi="Twinkl"/>
                <w:sz w:val="24"/>
                <w:szCs w:val="24"/>
              </w:rPr>
              <w:t xml:space="preserve">ity for a more detailed look at </w:t>
            </w:r>
            <w:r w:rsidRPr="00E40790">
              <w:rPr>
                <w:rFonts w:ascii="Twinkl" w:hAnsi="Twinkl"/>
                <w:sz w:val="24"/>
                <w:szCs w:val="24"/>
              </w:rPr>
              <w:t xml:space="preserve">the Christmas story through the eyes of the Gospel writers. A particular focus is given to St John’s Prologue, which describes Jesus as ‘the Word'. The meaning of the word ‘Incarnation’ is illustrated and developed. This will open out the different images of Jesus that are portrayed in Scripture. </w:t>
            </w:r>
          </w:p>
          <w:p w:rsidR="00795F19" w:rsidRPr="007D75FA" w:rsidRDefault="00E40790" w:rsidP="00E40790">
            <w:pPr>
              <w:spacing w:after="0" w:line="240" w:lineRule="auto"/>
              <w:ind w:right="1826"/>
              <w:rPr>
                <w:rFonts w:ascii="Twinkl" w:hAnsi="Twinkl"/>
                <w:sz w:val="24"/>
                <w:szCs w:val="24"/>
              </w:rPr>
            </w:pPr>
            <w:r w:rsidRPr="00E40790">
              <w:rPr>
                <w:rFonts w:ascii="Twinkl" w:hAnsi="Twinkl"/>
                <w:sz w:val="24"/>
                <w:szCs w:val="24"/>
              </w:rPr>
              <w:t>Similarities between the Christmas story, which appears in Matthew and Luke’s Gospels, are also considered.</w:t>
            </w:r>
          </w:p>
        </w:tc>
      </w:tr>
      <w:tr w:rsidR="00795F19" w:rsidRPr="001A3974" w:rsidTr="00795F19">
        <w:trPr>
          <w:trHeight w:val="425"/>
        </w:trPr>
        <w:tc>
          <w:tcPr>
            <w:tcW w:w="5000" w:type="pct"/>
            <w:gridSpan w:val="2"/>
            <w:shd w:val="clear" w:color="auto" w:fill="FFC000"/>
            <w:vAlign w:val="center"/>
          </w:tcPr>
          <w:p w:rsidR="00795F19" w:rsidRPr="001A3974" w:rsidRDefault="00795F19" w:rsidP="00795F19">
            <w:pPr>
              <w:pStyle w:val="NoSpacing"/>
              <w:rPr>
                <w:rFonts w:asciiTheme="minorHAnsi" w:hAnsiTheme="minorHAnsi" w:cstheme="minorHAnsi"/>
                <w:sz w:val="28"/>
                <w:szCs w:val="24"/>
              </w:rPr>
            </w:pPr>
            <w:r w:rsidRPr="001A3974">
              <w:rPr>
                <w:rFonts w:asciiTheme="minorHAnsi" w:hAnsiTheme="minorHAnsi" w:cstheme="minorHAnsi"/>
                <w:b/>
                <w:sz w:val="28"/>
                <w:szCs w:val="24"/>
              </w:rPr>
              <w:t>SPRING TERM 2020</w:t>
            </w:r>
          </w:p>
        </w:tc>
      </w:tr>
      <w:tr w:rsidR="00795F19" w:rsidRPr="001A3974" w:rsidTr="007D75FA">
        <w:trPr>
          <w:trHeight w:val="425"/>
        </w:trPr>
        <w:tc>
          <w:tcPr>
            <w:tcW w:w="1078" w:type="pct"/>
            <w:vAlign w:val="center"/>
          </w:tcPr>
          <w:p w:rsidR="00795F19" w:rsidRPr="001A3974" w:rsidRDefault="00795F19"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Feasts of Christmas - Epiphany</w:t>
            </w:r>
          </w:p>
        </w:tc>
        <w:tc>
          <w:tcPr>
            <w:tcW w:w="3922" w:type="pct"/>
            <w:vAlign w:val="center"/>
          </w:tcPr>
          <w:p w:rsidR="00795F19" w:rsidRPr="007D75FA" w:rsidRDefault="00795F19" w:rsidP="00795F19">
            <w:pPr>
              <w:pStyle w:val="NoSpacing"/>
              <w:rPr>
                <w:rFonts w:ascii="Twinkl" w:hAnsi="Twinkl" w:cstheme="minorHAnsi"/>
                <w:sz w:val="24"/>
                <w:szCs w:val="24"/>
              </w:rPr>
            </w:pPr>
            <w:r w:rsidRPr="007D75FA">
              <w:rPr>
                <w:rFonts w:ascii="Twinkl" w:hAnsi="Twinkl"/>
                <w:sz w:val="24"/>
                <w:szCs w:val="24"/>
              </w:rPr>
              <w:t>A focus is also provided on Christmas being a time of prayer and devotion.</w:t>
            </w:r>
          </w:p>
        </w:tc>
      </w:tr>
      <w:tr w:rsidR="00795F19" w:rsidRPr="001A3974" w:rsidTr="007D75FA">
        <w:trPr>
          <w:trHeight w:val="425"/>
        </w:trPr>
        <w:tc>
          <w:tcPr>
            <w:tcW w:w="1078" w:type="pct"/>
            <w:vAlign w:val="center"/>
          </w:tcPr>
          <w:p w:rsidR="00795F19" w:rsidRPr="001A3974" w:rsidRDefault="00795F19"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Revelation</w:t>
            </w:r>
          </w:p>
        </w:tc>
        <w:tc>
          <w:tcPr>
            <w:tcW w:w="3922" w:type="pct"/>
            <w:vAlign w:val="center"/>
          </w:tcPr>
          <w:p w:rsidR="00E40790" w:rsidRPr="00E40790" w:rsidRDefault="00E40790" w:rsidP="00E40790">
            <w:pPr>
              <w:spacing w:after="0" w:line="240" w:lineRule="auto"/>
              <w:rPr>
                <w:rFonts w:ascii="Twinkl" w:hAnsi="Twinkl"/>
                <w:sz w:val="24"/>
                <w:szCs w:val="24"/>
              </w:rPr>
            </w:pPr>
            <w:r w:rsidRPr="00E40790">
              <w:rPr>
                <w:rFonts w:ascii="Twinkl" w:hAnsi="Twinkl"/>
                <w:sz w:val="24"/>
                <w:szCs w:val="24"/>
              </w:rPr>
              <w:t>This unit examines the conversion of St Paul. The impact of this conversion to himself, on those around him and the Church are considered. There is an invitation to reflect on the deep and personal relationship St Paul enjoyed with Jesus and an opportunity to think how we might learn from him. God reveals Himself and His plan of loving goodness. Pupils are invited to consider how this divine revelation is transmitted. In considering Matthew 28:19-20, pupils will consider what is meant by ‘Apostolic Tradition’.</w:t>
            </w:r>
          </w:p>
          <w:p w:rsidR="00795F19" w:rsidRPr="007D75FA" w:rsidRDefault="00E40790" w:rsidP="00E40790">
            <w:pPr>
              <w:spacing w:after="0" w:line="240" w:lineRule="auto"/>
              <w:rPr>
                <w:rFonts w:ascii="Twinkl" w:hAnsi="Twinkl"/>
                <w:sz w:val="24"/>
                <w:szCs w:val="24"/>
              </w:rPr>
            </w:pPr>
            <w:r w:rsidRPr="00E40790">
              <w:rPr>
                <w:rFonts w:ascii="Twinkl" w:hAnsi="Twinkl"/>
                <w:sz w:val="24"/>
                <w:szCs w:val="24"/>
              </w:rPr>
              <w:t>The multi-faith element looks at the role of the guru in the Sikh religion.</w:t>
            </w:r>
          </w:p>
        </w:tc>
      </w:tr>
      <w:tr w:rsidR="00795F19" w:rsidRPr="0091415D" w:rsidTr="00795F19">
        <w:trPr>
          <w:trHeight w:val="425"/>
        </w:trPr>
        <w:tc>
          <w:tcPr>
            <w:tcW w:w="5000" w:type="pct"/>
            <w:gridSpan w:val="2"/>
            <w:shd w:val="clear" w:color="auto" w:fill="FFE599" w:themeFill="accent4" w:themeFillTint="66"/>
            <w:vAlign w:val="center"/>
          </w:tcPr>
          <w:p w:rsidR="00795F19" w:rsidRPr="0091415D" w:rsidRDefault="00795F19" w:rsidP="00795F19">
            <w:pPr>
              <w:pStyle w:val="NoSpacing"/>
              <w:rPr>
                <w:rFonts w:asciiTheme="minorHAnsi" w:hAnsiTheme="minorHAnsi" w:cstheme="minorHAnsi"/>
                <w:color w:val="000000" w:themeColor="text1"/>
                <w:sz w:val="28"/>
                <w:szCs w:val="24"/>
              </w:rPr>
            </w:pPr>
            <w:r w:rsidRPr="0091415D">
              <w:rPr>
                <w:rFonts w:asciiTheme="minorHAnsi" w:hAnsiTheme="minorHAnsi" w:cstheme="minorHAnsi"/>
                <w:b/>
                <w:color w:val="000000" w:themeColor="text1"/>
                <w:sz w:val="28"/>
                <w:szCs w:val="24"/>
              </w:rPr>
              <w:t>Half Term 17.02.20</w:t>
            </w:r>
          </w:p>
        </w:tc>
      </w:tr>
      <w:tr w:rsidR="00795F19" w:rsidRPr="001A3974" w:rsidTr="007D75FA">
        <w:trPr>
          <w:trHeight w:val="425"/>
        </w:trPr>
        <w:tc>
          <w:tcPr>
            <w:tcW w:w="1078" w:type="pct"/>
            <w:shd w:val="clear" w:color="auto" w:fill="00B0F0"/>
            <w:vAlign w:val="center"/>
          </w:tcPr>
          <w:p w:rsidR="00795F19" w:rsidRPr="001A3974" w:rsidRDefault="00795F19" w:rsidP="00795F19">
            <w:pPr>
              <w:pStyle w:val="NoSpacing"/>
              <w:rPr>
                <w:rFonts w:asciiTheme="minorHAnsi" w:hAnsiTheme="minorHAnsi" w:cstheme="minorHAnsi"/>
                <w:sz w:val="28"/>
                <w:szCs w:val="24"/>
              </w:rPr>
            </w:pPr>
            <w:r w:rsidRPr="001A3974">
              <w:rPr>
                <w:rFonts w:asciiTheme="minorHAnsi" w:hAnsiTheme="minorHAnsi" w:cstheme="minorHAnsi"/>
                <w:sz w:val="28"/>
                <w:szCs w:val="24"/>
              </w:rPr>
              <w:lastRenderedPageBreak/>
              <w:t>Judaism</w:t>
            </w:r>
          </w:p>
        </w:tc>
        <w:tc>
          <w:tcPr>
            <w:tcW w:w="3922" w:type="pct"/>
            <w:shd w:val="clear" w:color="auto" w:fill="00B0F0"/>
            <w:vAlign w:val="center"/>
          </w:tcPr>
          <w:p w:rsidR="00795F19" w:rsidRPr="001A3974" w:rsidRDefault="00795F19" w:rsidP="00795F19">
            <w:pPr>
              <w:pStyle w:val="NoSpacing"/>
              <w:rPr>
                <w:rFonts w:asciiTheme="minorHAnsi" w:hAnsiTheme="minorHAnsi" w:cstheme="minorHAnsi"/>
                <w:sz w:val="28"/>
                <w:szCs w:val="24"/>
              </w:rPr>
            </w:pPr>
          </w:p>
        </w:tc>
      </w:tr>
      <w:tr w:rsidR="00795F19" w:rsidRPr="001A3974" w:rsidTr="007D75FA">
        <w:trPr>
          <w:trHeight w:val="1408"/>
        </w:trPr>
        <w:tc>
          <w:tcPr>
            <w:tcW w:w="1078" w:type="pct"/>
            <w:shd w:val="clear" w:color="auto" w:fill="FFFFFF"/>
            <w:vAlign w:val="center"/>
          </w:tcPr>
          <w:p w:rsidR="00795F19" w:rsidRPr="001A3974" w:rsidRDefault="00795F19"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Lent</w:t>
            </w:r>
          </w:p>
        </w:tc>
        <w:tc>
          <w:tcPr>
            <w:tcW w:w="3922" w:type="pct"/>
            <w:shd w:val="clear" w:color="auto" w:fill="FFFFFF"/>
            <w:vAlign w:val="center"/>
          </w:tcPr>
          <w:p w:rsidR="00E40790" w:rsidRPr="00E40790" w:rsidRDefault="00E40790" w:rsidP="00E40790">
            <w:pPr>
              <w:spacing w:after="0" w:line="240" w:lineRule="auto"/>
              <w:jc w:val="both"/>
              <w:rPr>
                <w:rFonts w:ascii="Twinkl" w:hAnsi="Twinkl"/>
                <w:sz w:val="24"/>
                <w:szCs w:val="24"/>
              </w:rPr>
            </w:pPr>
            <w:r w:rsidRPr="00E40790">
              <w:rPr>
                <w:rFonts w:ascii="Twinkl" w:hAnsi="Twinkl"/>
                <w:sz w:val="24"/>
                <w:szCs w:val="24"/>
              </w:rPr>
              <w:t xml:space="preserve">The means by which we prepare for Easter are explored in depth through the teachings of Jesus in the parable of the rich man and Lazarus and the account of the Samaritan woman at the well. It allows for understanding of who Jesus is and </w:t>
            </w:r>
            <w:proofErr w:type="gramStart"/>
            <w:r w:rsidRPr="00E40790">
              <w:rPr>
                <w:rFonts w:ascii="Twinkl" w:hAnsi="Twinkl"/>
                <w:sz w:val="24"/>
                <w:szCs w:val="24"/>
              </w:rPr>
              <w:t>whom</w:t>
            </w:r>
            <w:proofErr w:type="gramEnd"/>
            <w:r w:rsidRPr="00E40790">
              <w:rPr>
                <w:rFonts w:ascii="Twinkl" w:hAnsi="Twinkl"/>
                <w:sz w:val="24"/>
                <w:szCs w:val="24"/>
              </w:rPr>
              <w:t xml:space="preserve"> he calls us to be. The Beatitudes are revised as fulfilment of God’s promise. </w:t>
            </w:r>
          </w:p>
          <w:p w:rsidR="00795F19" w:rsidRPr="007D75FA" w:rsidRDefault="00E40790" w:rsidP="00E40790">
            <w:pPr>
              <w:spacing w:after="0" w:line="240" w:lineRule="auto"/>
              <w:jc w:val="both"/>
              <w:rPr>
                <w:rFonts w:ascii="Twinkl" w:hAnsi="Twinkl"/>
                <w:sz w:val="24"/>
                <w:szCs w:val="24"/>
              </w:rPr>
            </w:pPr>
            <w:r w:rsidRPr="00E40790">
              <w:rPr>
                <w:rFonts w:ascii="Twinkl" w:hAnsi="Twinkl"/>
                <w:sz w:val="24"/>
                <w:szCs w:val="24"/>
              </w:rPr>
              <w:t>Moses’ importance to the Jewish faith is expressed in the multi-faith element.</w:t>
            </w:r>
          </w:p>
        </w:tc>
      </w:tr>
      <w:tr w:rsidR="00795F19" w:rsidRPr="001A3974" w:rsidTr="007D75FA">
        <w:trPr>
          <w:trHeight w:val="425"/>
        </w:trPr>
        <w:tc>
          <w:tcPr>
            <w:tcW w:w="1078" w:type="pct"/>
            <w:vAlign w:val="center"/>
          </w:tcPr>
          <w:p w:rsidR="00795F19" w:rsidRPr="001A3974" w:rsidRDefault="00795F19"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 xml:space="preserve">Holy Week </w:t>
            </w:r>
          </w:p>
        </w:tc>
        <w:tc>
          <w:tcPr>
            <w:tcW w:w="3922" w:type="pct"/>
            <w:vAlign w:val="center"/>
          </w:tcPr>
          <w:p w:rsidR="00E40790" w:rsidRPr="00E40790" w:rsidRDefault="00E40790" w:rsidP="00E40790">
            <w:pPr>
              <w:spacing w:after="0" w:line="240" w:lineRule="auto"/>
              <w:jc w:val="both"/>
              <w:rPr>
                <w:rFonts w:ascii="Twinkl" w:hAnsi="Twinkl"/>
                <w:sz w:val="24"/>
                <w:szCs w:val="24"/>
              </w:rPr>
            </w:pPr>
            <w:r w:rsidRPr="00E40790">
              <w:rPr>
                <w:rFonts w:ascii="Twinkl" w:hAnsi="Twinkl"/>
                <w:sz w:val="24"/>
                <w:szCs w:val="24"/>
              </w:rPr>
              <w:t xml:space="preserve">This unit revises and further builds on the pupils’ understanding of Holy Week, with a particular focus on what happened in the Garden of Gethsemane and the denial of Peter. </w:t>
            </w:r>
          </w:p>
          <w:p w:rsidR="00795F19" w:rsidRPr="007D75FA" w:rsidRDefault="00E40790" w:rsidP="00E40790">
            <w:pPr>
              <w:spacing w:after="0" w:line="240" w:lineRule="auto"/>
              <w:jc w:val="both"/>
              <w:rPr>
                <w:rFonts w:ascii="Twinkl" w:hAnsi="Twinkl"/>
                <w:sz w:val="24"/>
                <w:szCs w:val="24"/>
              </w:rPr>
            </w:pPr>
            <w:r w:rsidRPr="00E40790">
              <w:rPr>
                <w:rFonts w:ascii="Twinkl" w:hAnsi="Twinkl"/>
                <w:sz w:val="24"/>
                <w:szCs w:val="24"/>
              </w:rPr>
              <w:t>These events emphasise how Jesus fulfilled the will of the Father. The importance of prayer at all times, but particularly in Holy Week, is highlighted. The events also show how Jesus fulfilled the Scriptures of the Old Testament.</w:t>
            </w:r>
          </w:p>
        </w:tc>
      </w:tr>
      <w:tr w:rsidR="00795F19" w:rsidRPr="001A3974" w:rsidTr="00795F19">
        <w:trPr>
          <w:trHeight w:val="425"/>
        </w:trPr>
        <w:tc>
          <w:tcPr>
            <w:tcW w:w="5000" w:type="pct"/>
            <w:gridSpan w:val="2"/>
            <w:shd w:val="clear" w:color="auto" w:fill="FFC000"/>
            <w:vAlign w:val="center"/>
          </w:tcPr>
          <w:p w:rsidR="00795F19" w:rsidRPr="001A3974" w:rsidRDefault="00795F19" w:rsidP="00795F19">
            <w:pPr>
              <w:pStyle w:val="NoSpacing"/>
              <w:rPr>
                <w:rFonts w:asciiTheme="minorHAnsi" w:hAnsiTheme="minorHAnsi" w:cstheme="minorHAnsi"/>
                <w:sz w:val="28"/>
                <w:szCs w:val="24"/>
              </w:rPr>
            </w:pPr>
            <w:r w:rsidRPr="001A3974">
              <w:rPr>
                <w:rFonts w:asciiTheme="minorHAnsi" w:hAnsiTheme="minorHAnsi" w:cstheme="minorHAnsi"/>
                <w:b/>
                <w:sz w:val="28"/>
                <w:szCs w:val="24"/>
              </w:rPr>
              <w:t>SUMMER TERM 2020</w:t>
            </w:r>
          </w:p>
        </w:tc>
      </w:tr>
      <w:tr w:rsidR="00795F19" w:rsidRPr="001A3974" w:rsidTr="007D75FA">
        <w:trPr>
          <w:trHeight w:val="425"/>
        </w:trPr>
        <w:tc>
          <w:tcPr>
            <w:tcW w:w="1078" w:type="pct"/>
            <w:vAlign w:val="center"/>
          </w:tcPr>
          <w:p w:rsidR="00795F19" w:rsidRPr="001A3974" w:rsidRDefault="00795F19"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Easter</w:t>
            </w:r>
          </w:p>
        </w:tc>
        <w:tc>
          <w:tcPr>
            <w:tcW w:w="3922" w:type="pct"/>
            <w:vAlign w:val="center"/>
          </w:tcPr>
          <w:p w:rsidR="00E40790" w:rsidRPr="00E40790" w:rsidRDefault="00E40790" w:rsidP="00E40790">
            <w:pPr>
              <w:spacing w:after="0" w:line="240" w:lineRule="auto"/>
              <w:jc w:val="both"/>
              <w:rPr>
                <w:rFonts w:ascii="Twinkl" w:hAnsi="Twinkl"/>
                <w:sz w:val="24"/>
                <w:szCs w:val="24"/>
              </w:rPr>
            </w:pPr>
            <w:r w:rsidRPr="00E40790">
              <w:rPr>
                <w:rFonts w:ascii="Twinkl" w:hAnsi="Twinkl"/>
                <w:sz w:val="24"/>
                <w:szCs w:val="24"/>
              </w:rPr>
              <w:t>This unit provides opportunities to explore in real detail the events of the Easter season. This is achieved by examining the parallel accounts of the Gospels. The Christian beliefs in eternal life are explored through examination of Scripture and the Catholic funeral liturgy.</w:t>
            </w:r>
          </w:p>
          <w:p w:rsidR="00795F19" w:rsidRPr="007D75FA" w:rsidRDefault="00E40790" w:rsidP="00E40790">
            <w:pPr>
              <w:spacing w:after="0" w:line="240" w:lineRule="auto"/>
              <w:jc w:val="both"/>
              <w:rPr>
                <w:rFonts w:ascii="Twinkl" w:hAnsi="Twinkl"/>
                <w:sz w:val="24"/>
                <w:szCs w:val="24"/>
              </w:rPr>
            </w:pPr>
            <w:r w:rsidRPr="00E40790">
              <w:rPr>
                <w:rFonts w:ascii="Twinkl" w:hAnsi="Twinkl"/>
                <w:sz w:val="24"/>
                <w:szCs w:val="24"/>
              </w:rPr>
              <w:t>Opportunities are also provided to explore the Hindu belief in reincarnation in the multi-faith element.</w:t>
            </w:r>
          </w:p>
        </w:tc>
      </w:tr>
      <w:tr w:rsidR="00795F19" w:rsidRPr="001A3974" w:rsidTr="007D75FA">
        <w:trPr>
          <w:trHeight w:val="425"/>
        </w:trPr>
        <w:tc>
          <w:tcPr>
            <w:tcW w:w="1078" w:type="pct"/>
            <w:vAlign w:val="center"/>
          </w:tcPr>
          <w:p w:rsidR="00795F19" w:rsidRPr="001A3974" w:rsidRDefault="00795F19"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Pentecost and Mission</w:t>
            </w:r>
          </w:p>
        </w:tc>
        <w:tc>
          <w:tcPr>
            <w:tcW w:w="3922" w:type="pct"/>
            <w:vAlign w:val="center"/>
          </w:tcPr>
          <w:p w:rsidR="00795F19" w:rsidRPr="007D75FA" w:rsidRDefault="00E40790" w:rsidP="0034646E">
            <w:pPr>
              <w:spacing w:after="0" w:line="240" w:lineRule="auto"/>
              <w:jc w:val="both"/>
              <w:rPr>
                <w:rFonts w:ascii="Twinkl" w:hAnsi="Twinkl"/>
                <w:sz w:val="24"/>
                <w:szCs w:val="24"/>
              </w:rPr>
            </w:pPr>
            <w:r w:rsidRPr="00E40790">
              <w:rPr>
                <w:rFonts w:ascii="Twinkl" w:hAnsi="Twinkl"/>
                <w:sz w:val="24"/>
                <w:szCs w:val="24"/>
              </w:rPr>
              <w:t>This unit should support year 6 pupils as they prepare for transition to secondary school. Clear links are made to the Sacrament of Confirmation and there is reflection on the effect of the Holy Spirit in their lives.</w:t>
            </w:r>
          </w:p>
        </w:tc>
      </w:tr>
      <w:tr w:rsidR="00795F19" w:rsidRPr="0091415D" w:rsidTr="00795F19">
        <w:trPr>
          <w:trHeight w:val="425"/>
        </w:trPr>
        <w:tc>
          <w:tcPr>
            <w:tcW w:w="5000" w:type="pct"/>
            <w:gridSpan w:val="2"/>
            <w:shd w:val="clear" w:color="auto" w:fill="FFE599" w:themeFill="accent4" w:themeFillTint="66"/>
            <w:vAlign w:val="center"/>
          </w:tcPr>
          <w:p w:rsidR="00795F19" w:rsidRPr="0091415D" w:rsidRDefault="00795F19" w:rsidP="00795F19">
            <w:pPr>
              <w:pStyle w:val="NoSpacing"/>
              <w:rPr>
                <w:rFonts w:asciiTheme="minorHAnsi" w:hAnsiTheme="minorHAnsi" w:cstheme="minorHAnsi"/>
                <w:b/>
                <w:color w:val="000000" w:themeColor="text1"/>
                <w:sz w:val="28"/>
                <w:szCs w:val="24"/>
              </w:rPr>
            </w:pPr>
            <w:r w:rsidRPr="0091415D">
              <w:rPr>
                <w:rFonts w:asciiTheme="minorHAnsi" w:hAnsiTheme="minorHAnsi" w:cstheme="minorHAnsi"/>
                <w:b/>
                <w:color w:val="000000" w:themeColor="text1"/>
                <w:sz w:val="28"/>
                <w:szCs w:val="24"/>
              </w:rPr>
              <w:t>Half Term 25.05.20</w:t>
            </w:r>
          </w:p>
        </w:tc>
      </w:tr>
      <w:tr w:rsidR="00795F19" w:rsidRPr="001A3974" w:rsidTr="007D75FA">
        <w:trPr>
          <w:trHeight w:val="425"/>
        </w:trPr>
        <w:tc>
          <w:tcPr>
            <w:tcW w:w="1078" w:type="pct"/>
            <w:vAlign w:val="center"/>
          </w:tcPr>
          <w:p w:rsidR="00795F19" w:rsidRPr="001A3974" w:rsidRDefault="00795F19"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Pentecost and Mission</w:t>
            </w:r>
          </w:p>
        </w:tc>
        <w:tc>
          <w:tcPr>
            <w:tcW w:w="3922" w:type="pct"/>
            <w:vAlign w:val="center"/>
          </w:tcPr>
          <w:p w:rsidR="00795F19" w:rsidRPr="007D75FA" w:rsidRDefault="007D75FA" w:rsidP="00795F19">
            <w:pPr>
              <w:pStyle w:val="NoSpacing"/>
              <w:rPr>
                <w:rFonts w:ascii="Twinkl" w:hAnsi="Twinkl" w:cstheme="minorHAnsi"/>
                <w:sz w:val="24"/>
                <w:szCs w:val="24"/>
              </w:rPr>
            </w:pPr>
            <w:r w:rsidRPr="007D75FA">
              <w:rPr>
                <w:rFonts w:ascii="Twinkl" w:hAnsi="Twinkl" w:cstheme="minorHAnsi"/>
                <w:sz w:val="24"/>
                <w:szCs w:val="24"/>
              </w:rPr>
              <w:t>Continued</w:t>
            </w:r>
            <w:r>
              <w:rPr>
                <w:rFonts w:ascii="Twinkl" w:hAnsi="Twinkl" w:cstheme="minorHAnsi"/>
                <w:sz w:val="24"/>
                <w:szCs w:val="24"/>
              </w:rPr>
              <w:t xml:space="preserve"> after half term</w:t>
            </w:r>
          </w:p>
        </w:tc>
      </w:tr>
      <w:tr w:rsidR="00795F19" w:rsidRPr="001A3974" w:rsidTr="007D75FA">
        <w:trPr>
          <w:trHeight w:val="425"/>
        </w:trPr>
        <w:tc>
          <w:tcPr>
            <w:tcW w:w="1078" w:type="pct"/>
            <w:shd w:val="clear" w:color="auto" w:fill="00B0F0"/>
            <w:vAlign w:val="center"/>
          </w:tcPr>
          <w:p w:rsidR="00795F19" w:rsidRPr="001A3974" w:rsidRDefault="00795F19"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Sikhism</w:t>
            </w:r>
          </w:p>
        </w:tc>
        <w:tc>
          <w:tcPr>
            <w:tcW w:w="3922" w:type="pct"/>
            <w:shd w:val="clear" w:color="auto" w:fill="00B0F0"/>
            <w:vAlign w:val="center"/>
          </w:tcPr>
          <w:p w:rsidR="00795F19" w:rsidRPr="001A3974" w:rsidRDefault="00795F19" w:rsidP="00795F19">
            <w:pPr>
              <w:pStyle w:val="NoSpacing"/>
              <w:rPr>
                <w:rFonts w:asciiTheme="minorHAnsi" w:hAnsiTheme="minorHAnsi" w:cstheme="minorHAnsi"/>
                <w:sz w:val="28"/>
                <w:szCs w:val="24"/>
              </w:rPr>
            </w:pPr>
          </w:p>
        </w:tc>
      </w:tr>
      <w:tr w:rsidR="00795F19" w:rsidRPr="001A3974" w:rsidTr="007D75FA">
        <w:trPr>
          <w:trHeight w:val="425"/>
        </w:trPr>
        <w:tc>
          <w:tcPr>
            <w:tcW w:w="1078" w:type="pct"/>
            <w:shd w:val="clear" w:color="auto" w:fill="00B0F0"/>
            <w:vAlign w:val="center"/>
          </w:tcPr>
          <w:p w:rsidR="00795F19" w:rsidRPr="001A3974" w:rsidRDefault="00795F19"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Hinduism</w:t>
            </w:r>
          </w:p>
        </w:tc>
        <w:tc>
          <w:tcPr>
            <w:tcW w:w="3922" w:type="pct"/>
            <w:shd w:val="clear" w:color="auto" w:fill="00B0F0"/>
            <w:vAlign w:val="center"/>
          </w:tcPr>
          <w:p w:rsidR="00795F19" w:rsidRPr="001A3974" w:rsidRDefault="00795F19" w:rsidP="00795F19">
            <w:pPr>
              <w:pStyle w:val="NoSpacing"/>
              <w:rPr>
                <w:rFonts w:asciiTheme="minorHAnsi" w:hAnsiTheme="minorHAnsi" w:cstheme="minorHAnsi"/>
                <w:sz w:val="28"/>
                <w:szCs w:val="24"/>
              </w:rPr>
            </w:pPr>
          </w:p>
        </w:tc>
      </w:tr>
      <w:tr w:rsidR="007D75FA" w:rsidRPr="001A3974" w:rsidTr="007D75FA">
        <w:tc>
          <w:tcPr>
            <w:tcW w:w="5000" w:type="pct"/>
            <w:gridSpan w:val="2"/>
            <w:shd w:val="clear" w:color="auto" w:fill="auto"/>
          </w:tcPr>
          <w:p w:rsidR="007D75FA" w:rsidRPr="001A3974" w:rsidRDefault="007D75FA"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Big Questions of Faith</w:t>
            </w:r>
          </w:p>
          <w:p w:rsidR="007D75FA" w:rsidRPr="001A3974" w:rsidRDefault="007D75FA"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 xml:space="preserve">Project RE e.g. </w:t>
            </w:r>
          </w:p>
          <w:p w:rsidR="007D75FA" w:rsidRPr="001A3974" w:rsidRDefault="007D75FA"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Going Back to Areas of Concern</w:t>
            </w:r>
          </w:p>
          <w:p w:rsidR="007D75FA" w:rsidRPr="001A3974" w:rsidRDefault="007D75FA"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Retreat/Pilgrimage Experiences</w:t>
            </w:r>
          </w:p>
        </w:tc>
      </w:tr>
    </w:tbl>
    <w:p w:rsidR="00C32843" w:rsidRPr="00AE1B04" w:rsidRDefault="00C32843" w:rsidP="00795F19">
      <w:pPr>
        <w:pStyle w:val="NoSpacing"/>
        <w:rPr>
          <w:rFonts w:asciiTheme="minorHAnsi" w:hAnsiTheme="minorHAnsi" w:cstheme="minorHAnsi"/>
          <w:sz w:val="24"/>
          <w:szCs w:val="24"/>
        </w:rPr>
      </w:pPr>
    </w:p>
    <w:sectPr w:rsidR="00C32843" w:rsidRPr="00AE1B04" w:rsidSect="00795F1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winkl">
    <w:altName w:val="Arial"/>
    <w:panose1 w:val="00000000000000000000"/>
    <w:charset w:val="00"/>
    <w:family w:val="modern"/>
    <w:notTrueType/>
    <w:pitch w:val="variable"/>
    <w:sig w:usb0="00000001"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43"/>
    <w:rsid w:val="00083F9A"/>
    <w:rsid w:val="00125E1D"/>
    <w:rsid w:val="001A3974"/>
    <w:rsid w:val="002A5301"/>
    <w:rsid w:val="0034646E"/>
    <w:rsid w:val="00367D3A"/>
    <w:rsid w:val="003B5523"/>
    <w:rsid w:val="003E2951"/>
    <w:rsid w:val="003E4B32"/>
    <w:rsid w:val="003E66BA"/>
    <w:rsid w:val="004B4F9B"/>
    <w:rsid w:val="00504A20"/>
    <w:rsid w:val="005839C0"/>
    <w:rsid w:val="00675BCA"/>
    <w:rsid w:val="006975DB"/>
    <w:rsid w:val="00795F19"/>
    <w:rsid w:val="007D75FA"/>
    <w:rsid w:val="00862CE8"/>
    <w:rsid w:val="0091415D"/>
    <w:rsid w:val="00A44CC5"/>
    <w:rsid w:val="00AD0B00"/>
    <w:rsid w:val="00AE1B04"/>
    <w:rsid w:val="00B470CA"/>
    <w:rsid w:val="00B908AE"/>
    <w:rsid w:val="00C32843"/>
    <w:rsid w:val="00D16CFC"/>
    <w:rsid w:val="00E00E0A"/>
    <w:rsid w:val="00E22B6D"/>
    <w:rsid w:val="00E331DC"/>
    <w:rsid w:val="00E40790"/>
    <w:rsid w:val="00EF66F5"/>
    <w:rsid w:val="00F74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4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84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D0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B00"/>
    <w:rPr>
      <w:rFonts w:ascii="Tahoma" w:eastAsia="Calibri" w:hAnsi="Tahoma" w:cs="Tahoma"/>
      <w:sz w:val="16"/>
      <w:szCs w:val="16"/>
    </w:rPr>
  </w:style>
  <w:style w:type="character" w:styleId="Hyperlink">
    <w:name w:val="Hyperlink"/>
    <w:basedOn w:val="DefaultParagraphFont"/>
    <w:uiPriority w:val="99"/>
    <w:unhideWhenUsed/>
    <w:rsid w:val="00B908AE"/>
    <w:rPr>
      <w:color w:val="0000FF"/>
      <w:u w:val="single"/>
    </w:rPr>
  </w:style>
  <w:style w:type="table" w:styleId="TableGrid">
    <w:name w:val="Table Grid"/>
    <w:basedOn w:val="TableNormal"/>
    <w:uiPriority w:val="59"/>
    <w:rsid w:val="00795F19"/>
    <w:pPr>
      <w:spacing w:after="0" w:line="240" w:lineRule="auto"/>
    </w:pPr>
    <w:rPr>
      <w:rFonts w:ascii="Comic Sans MS" w:eastAsia="Calibri" w:hAnsi="Comic Sans MS"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4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84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D0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B00"/>
    <w:rPr>
      <w:rFonts w:ascii="Tahoma" w:eastAsia="Calibri" w:hAnsi="Tahoma" w:cs="Tahoma"/>
      <w:sz w:val="16"/>
      <w:szCs w:val="16"/>
    </w:rPr>
  </w:style>
  <w:style w:type="character" w:styleId="Hyperlink">
    <w:name w:val="Hyperlink"/>
    <w:basedOn w:val="DefaultParagraphFont"/>
    <w:uiPriority w:val="99"/>
    <w:unhideWhenUsed/>
    <w:rsid w:val="00B908AE"/>
    <w:rPr>
      <w:color w:val="0000FF"/>
      <w:u w:val="single"/>
    </w:rPr>
  </w:style>
  <w:style w:type="table" w:styleId="TableGrid">
    <w:name w:val="Table Grid"/>
    <w:basedOn w:val="TableNormal"/>
    <w:uiPriority w:val="59"/>
    <w:rsid w:val="00795F19"/>
    <w:pPr>
      <w:spacing w:after="0" w:line="240" w:lineRule="auto"/>
    </w:pPr>
    <w:rPr>
      <w:rFonts w:ascii="Comic Sans MS" w:eastAsia="Calibri" w:hAnsi="Comic Sans MS"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Marys RC Primary School</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Adams</dc:creator>
  <cp:lastModifiedBy>Justin Holmes</cp:lastModifiedBy>
  <cp:revision>2</cp:revision>
  <cp:lastPrinted>2019-09-17T13:39:00Z</cp:lastPrinted>
  <dcterms:created xsi:type="dcterms:W3CDTF">2019-09-17T13:44:00Z</dcterms:created>
  <dcterms:modified xsi:type="dcterms:W3CDTF">2019-09-17T13:44:00Z</dcterms:modified>
</cp:coreProperties>
</file>